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anotācijās 1.3.sadaļā sniegtos duālās nozīmes preču piemērus (pārtikas iepakojumi, tālskati, sērkociņi , papildinātās realitātes brilles, elektroskrejriteņi) ar izvērstāku skaidrojumu, par šo produktu duālo pielietojumu, tai skaitā, vai un kā produkts ir jāpielāgo, lai tas kļūtu par militārās nozīmes produktu. Piemēram, sērkociņi kā produkts tirgū jau eksistē gadu desmitiem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norādīts, ka pārdalāmais finansējums (bez elastības finansējuma) ir 8 002 977 euro un elastības finansējuma kopsumma ir 2 197 566 euro, kas kopā veido 10 200 243 euro, nevis noteikumu projektā paredzēto kopējo finansējuma palielinājumu 13 869 475 euro apmērā. Lūdzam izvērtēt un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sniegt skaidrojumu par rādītāju neproporcionālo palielinājumu vai pārskatīt pasākuma ietvaros noteikto rādītāju vērtības, lai tie atbilst vismaz papildus piešķirtā finansējuma palielinājuma proporcijai (papildus 17%), it īpaši attiecībā uz šo noteikumu 8.2.3.apakšpunktā noteikto rādītāju "atbalstītie jaunie uzņēmumi" un 9.2.apakšpunktā noteikto rādītāju "jauni uzņēmumi, kas joprojām darbojas tirgū", kur palielinājums ir tikai par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vēl nav sniegusi saskaņojumu Eiropas Savienības kohēzijas politikas programmas 2021.–2027. gadam grozījumu projektam, līdz ar to pastāv risks, ka Eiropas Komisija neatbalstīs minēto rādītāju neproporcionālu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