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Apdraudējuma novēršanas kārtība nacionālajai drošībai nozīmīgām komercsabiedrībām, biedrībām un nodibinājumiem.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likumā “Par valsts budžetu 2023. gadam un budžeta ietvaru 2023., 2024. un 2025. gadam” nav paredzēts finansējums noteikumu projektā paredzēto pasākumu īstenošanai, </w:t>
            </w:r>
            <w:r w:rsidR="00000000" w:rsidRPr="00000000" w:rsidDel="00000000">
              <w:rPr>
                <w:u w:val="single"/>
                <w:rtl w:val="0"/>
              </w:rPr>
              <w:t xml:space="preserve">attiecīgi Nacionālās drošības likumā paredzēto normu izpildi iesaistītajām institūcijām būs jānodrošina tām piešķirto valsts budžeta līdzekļu ietvaros,</w:t>
            </w:r>
            <w:r w:rsidR="00000000" w:rsidRPr="00000000" w:rsidDel="00000000">
              <w:rPr>
                <w:rtl w:val="0"/>
              </w:rPr>
              <w:t xml:space="preserve">  lūdzam anotācijas 3.sadaļā pie citas informācijas norādīt, ka projekta izpildē iesaistītās institūcijas projektā paredzēto normu izpildi nodrošinās tām esošo cilvēkresursu un piešķirto valsts budžeta līdzekļu ietvaros.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Anželika Osipova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22-TA-3420</w:t>
    </w:r>
    <w:r>
      <w:br/>
    </w:r>
    <w:r w:rsidR="00000000" w:rsidRPr="00000000" w:rsidDel="00000000">
      <w:rPr>
        <w:rtl w:val="0"/>
      </w:rPr>
      <w:t xml:space="preserve">Izdrukāts 26.04.2023. 14.14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22-TA-3420</w:t>
    </w:r>
    <w:r>
      <w:br/>
    </w:r>
    <w:r w:rsidR="00000000" w:rsidRPr="00000000" w:rsidDel="00000000">
      <w:rPr>
        <w:rtl w:val="0"/>
      </w:rPr>
      <w:t xml:space="preserve">Izdrukāts 26.04.2023. 14.14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