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nosakāma alkohola koncentrācija asinīs un izelpas gaisā, kā arī konstatējama alkohola, narkotisko vai citu apreibinošo vielu ietekme vai reibums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Medicīniskās pārbaudes rezultātus (izziņas veidā)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kāpēc ir nepieciešams rakstveida pieprasījums medicīniskās pārbaudes rezultātu saņemšanai izziņas veidā, ja persona ir iesniegusi Projekta 18.punktā minēto iesniegumu, kurā būtu iespējams atzīmēt, vai un kādā formā vēlas saņemt pārbaudes rezultātu. Vēršam uzmanību, ka prasība iesniegt iestādē 2 dokumentus, lai pieteiktos pakalpojumam un saņemtu tā rezultātu, uzskatāma par administratīvo slogu fiziskām personām un būtu pārskatāma.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detalizēta informācija par ekspertiem, proti, to vārds, uzvārds, nebūtu jānorāda publiski pieejamā dokumentā kā noteikumu projekta anotācija.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13.12.2023.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13.12.2023.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Atzinumi_23-TA-836.docx</dc:title>
</cp:coreProperties>
</file>

<file path=docProps/custom.xml><?xml version="1.0" encoding="utf-8"?>
<Properties xmlns="http://schemas.openxmlformats.org/officeDocument/2006/custom-properties" xmlns:vt="http://schemas.openxmlformats.org/officeDocument/2006/docPropsVTypes"/>
</file>