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21-TA-1420: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Gaisa aizsardzības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par likuma 17.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plānojot papildu pasākumus mājsaimniecību apkures radītā piesārņojuma samazināšanai,  jāparedz risinājums valsts aizsargājamu kultūras pieminekļu – atsevišķu krāšņu vai krāšņu, kas ir valsts aizsargājamu kultūras pieminekļu saglabājamās vērtības saglabāšanas nodrošināšanai. Tā kā kultūras mantojuma vērtību saglabāšanai bieži vien izšķiroša ir pielietojamība, pašvaldību izpētēs vai saistošajos noteikumos aicinām iekļaut arī mehānismus, kas ļautu apzināt un izvērtēt gadījumus, ja to izdoto saistošo noteikumu rezultātā tiktu plānots nojaukt līdz šim neapzinātas kultūrvēsturiski vērtīgas krāsnis.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Vivita Vīksna-Bārbale (NKMP)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06.09.2023.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06.09.2023.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Atzinumi_21-TA-1420.docx</dc:title>
</cp:coreProperties>
</file>

<file path=docProps/custom.xml><?xml version="1.0" encoding="utf-8"?>
<Properties xmlns="http://schemas.openxmlformats.org/officeDocument/2006/custom-properties" xmlns:vt="http://schemas.openxmlformats.org/officeDocument/2006/docPropsVTypes"/>
</file>