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354 "Audžuģimenes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kārtību, kādā atbalsta centrs izmaksā kompensāciju par civiltiesiskās atbildības apdrošināšanu, ja audžuģimene tādu ir iegādājusies, un izsniedz veselības apdrošināšanas karti.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pārpratumus saistībā ar normas piemērošanu par CTA apdrošināšanas polises iegādi, lūdzam rast iespēju normā vai anotācijā skaidrot, ka šāda apdrošināšana ir paredzēta nejauši nodarītu zaudējumu trešajai personai segšanai un neattiecas uz zaudējumiem, kas nodarīti ļauna nolūka vai rupjas neuzmanības rezultātā, kā arī gadījumiem, kad apdrošinātais zaudējumus nodarījis, atrodoties alkohola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audžubērna rīcību apdrošināšanas segums tiek vērtēts, ņemot vērā, vai notikums ir nejaušs un no apdrošinātā gribas neatkarīgs. Ja zaudējumi ir nodarīti ar ļaunu nolūku, tie parasti netiek atlīdzināti, izņemot gadījumu, ja bērns ar tiesas nolēmumu atzīts par rīcībnespējīgu un par to ir informēts apdrošinātājs. Vienlaikus pastāv risks, ka apdrošinātāji šādu segumu bērna rīcībnespējas gadījumā vispār nepiedāvās, jo tas var neatbilst apdrošināšanas būtībai. Tāpat tiek vērtēta audžuvecāka vai aizbildņa rīcība un tā loma zaudējumu nodarīšanā, tostarp, vai tas ir veicinājis kaitējuma rašanos, devis norādījumus vai rīkojies rupji neuzmanīgi.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CTA apdrošināšana neattieksies uz gadījumiem, kad audžubērns nodarījis kaitējumu audžuvecāka īpašumam. Šādu risku segšanai iesakām apsvērt īpašuma (mājokļa) apdrošināšanu, kas var nodrošināt plašāku aizsardzību audžuģimenes mājoklim un iedzīvei. Privātīpašuma apdrošināšana bieži tiek kombinēta ar CTA apdrošināšanu vienā polisē.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23.07.2026.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23.07.2026.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Atzinumi_23-TA-327.docx</dc:title>
</cp:coreProperties>
</file>

<file path=docProps/custom.xml><?xml version="1.0" encoding="utf-8"?>
<Properties xmlns="http://schemas.openxmlformats.org/officeDocument/2006/custom-properties" xmlns:vt="http://schemas.openxmlformats.org/officeDocument/2006/docPropsVTypes"/>
</file>