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budžetu un finanšu vadību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dienesta atzinums - Projekta 9. pants paredz izteikt Likuma par budžetu un finanšu vadību (turpmāk – Likums) 28.1 pantu (Sadarbība ar Saeimas komisijām) jaunā redakcijā, kur saskaņā ar minētā panta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Ministrijas un citas centrālās valsts iestādes ne vēlāk kā līdz kārtējā gada 30. aprīlim iesniedz attiecīgajām Saeimas komisijām informāciju par to darbības mērķiem un rezultātiem, iepriekšējā gada budžeta izpildi, sasniegtajiem rezultātiem atbilstoši izlietotajiem resursiem un ieguvumu sabiedrībai un tās ietekmi uz nozaru politiku turpmāko finansēšanu vidējā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iestāžu darbības tiesisko pamatu, mērķus, uzdevumus, pienākumus un atbildību pamatā nosaka Valsts drošības iestāžu likums un Nacionālās drošības likums. Norādāms, ka ņemot vērā valsts drošības iestāžu specifiku un uz tām attiecināmās informācijas aizsardzības prasības, informācija, tostarp, par valsts drošības iestāžu finansēm, struktūru, bruņojumu, materiāltehnisko nodrošinājumu un tā iegādi, un cita informācija, kas saskaņā ar Ministru kabineta 2004. gada 26. oktobra noteikumiem Nr.887 “Valsts noslēpuma objektu saraksts”, nav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vispārējās kārtības atšķirīgu kārtību izdevumu uz ko attiecināms valsts noslēpuma statuss apstiprināšanai paredz arī Likums. Proti, atbilstoši Likuma 13. panta (Valsts noslēpumi (slepenie izdevumi)) pirmajai daļai noteiktiem nacionālās drošības pasākumiem paredzētos slepenos izdevumus valsts budžeta likumā apstiprina bez izklāsta. Savukārt, saskaņā ar minētā panta otro daļu, slepeno izdevumu izklāstu valsts budžetā finanšu ministrs iesniedz speciālai Saeimas komisijai, kas par to sniedz atsevišķu ziņojumu Budžeta un finanšu (nodokļu) komisijai pirms valsts budžeta apstiprināšanas, ja vien Saeima nav lēmusi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vēršam uzmanību, ka attiecībā uz valsts drošības iestādēm Likuma 13. pantā paredzēta no vispārējās kārtības atšķirīga slepeno izdevumu apstiprināšanas kārtība gadskārtējā valsts budžeta likumā. Attiecīgi, arī attiecībā uz budžeta izpildi un tā kontroli būtu ievērojams šāds atšķirīgs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Attīstības plānošanas sistēmas likuma 3. panta trešajā daļā noteikto, attīstības plānošanas dokumentus valsts aizsardzības politikas jomā nosaka Nacionālo bruņoto spēku likums un Nacionālās drošības likums. Saskaņā ar Valsts drošības iestāžu likuma 12. panta otro daļu, valsts drošības iestāžu padomes kompetencē ir izskatīt valsts drošības iestāžu darbības prioritātes, šīm iestādēm izvirzāmās prasības un uzdevumus, izstrādāt valsts drošības iestāžu budžeta projektu, izvērtēt valsts drošības iestāžu darbības efektivitāti u.c. Savukārt, saskaņā ar Nacionālās drošības likuma 7. panta otro daļu, Saeimas Nacionālās drošības komisija noklausās Valsts drošības iestāžu vadītāju ziņojumus par valsts drošības iestāžu darbību, kā arī izskata šo iestāžu darbības pārbaudes rezultātus. Minētā kārtība līdz šim  nav paredzējusi valsts drošības iestādēm darbības efektivitātes un skaidrojuma par valsts drošības iestāžu sasaisti ar attiecīgā perioda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Valsts drošības iestāžu darbības un sasniegumu izmērīšana nav iespējama, izmantojot tādas metodes kā rezultatīvie rādītāji. Tos, kā īpaši ierobežojošus un nefleksiblus objektīva un attiecīgajai drošības situācijai atbilstoša valsts drošības iestāžu darba progresu raksturojošus kritērijus nevar pielietot, jo mūsdienu straujā notikumu attīstība pasaulē un reģionā nepārtraukti (gan tieši, gan netieši) ietekmē arī dažādus Latvijas nacionālās drošības aspektus. Minētais liedz, pirmkārt, valsts drošības iestāžu darbības pamatmērķī iztrūkstot klasiskam sabiedriskā pakalpojumam vai uzdevumam, definēt specifiskus un rezultatīvos rādītājos izmērāmus uzdevumus un pasākumus un, otrkārt, atspoguļot valsts drošības iestāžu darba progresu, sasniegumus atbilstoši nemitīgi mainīgiem drošības situācijas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visu iepriekš minēto, nav saprotama kārtība, kā Projekta 9. pantā iekļautā norma, kas paredz sniegt informāciju saistībā ar budžeta izpildi, būs piemērojama attiecībā uz valsts drošības iestādēm, t.sk., kādā apjomā valsts drošības iestādes sniedz saskaņā ar šo normu paredzēto informāciju un, kura būs piekritīgā Saeimas komisija, kurā šo informāciju valsts drošības iestādes iesniedz, vai attiecīgā kompetence nepārklāsies, ņemot vērā valsts drošības iestāžu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Ilanta Balcere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2023. gada 22.augusta instrukcijas Nr.4 “</w:t>
            </w:r>
            <w:r w:rsidR="00000000" w:rsidRPr="00000000" w:rsidDel="00000000">
              <w:rPr>
                <w:i w:val="1"/>
                <w:rtl w:val="0"/>
              </w:rPr>
              <w:t xml:space="preserve">Instrukcija par budžeta pieprasījumu izstrādāšanas un iesniegšanas pamatprincipiem” (turpmāk – instrukcija Nr.4) 14. punktu “Ministrija šīs instrukcijas 3.2. apakšpunktā minētajai daļai paredzētās apropriācijas plāno atsevišķās budžeta programmās (apakšprogrammās) katram Eiropas Savienības politiku instrumentam un pārējai ārvalstu finanšu palīdzībai. Aktualizēto budžeta programmu (apakšprogrammu) nosaukumu un numerācijas sarakstu Finanšu ministrija publicē savā tīmekļvietnē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instrukcijas Nr.4 15.punktā ir noteikta struktūra kādā tiek veidotas ES sadaļas budžeta apakšprogrammas, paredzot attiecīgus nosaukumus un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ministrijas padotībā esošās iestādes var uzņemties ilgtermiņa saistības, atbilstoši MK lēmumiem,  dažādos saistību veidos (ES fondos, programmās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Iekšlietu ministrijas budžeta apakšprogrammā 70.24.00 “Iekšējās drošības un Patvēruma, migrācijas un integrācijas fondu un Finansiāla atbalsta instrumenta robežu pārvaldībai un vīzu politikai projektu un pasākumu īstenošana (2021–2027)” tiek plānots finansējums projektiem Iekšlietu ministrijas padotībā esošajām iestādēm, kuras ir iekļautas dažādās politikas un darbības jomās (Pilsonības un migrācijas lietu pārvalde, Nodrošinājuma valsts aģentūra, Valsts policija, Valsts robežsardze un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budžeta apakšprogrammā 74.06.00 “Atveseļošanas un noturības mehānisma (ANM) projekti un pasākumi” tiek plānots finansējums atbilstoši MK lēmumiem Valsts policijai, Finanšu izlūkošanas dienestam, Nodrošinājuma valsts aģentūrai, Iekšlietu ministrijas Informācijas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skaidrs kā budžeta programmu/ apakšprogrammu var attiecināt tikai uz vienu politikas un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(ex-ante) novērtējuma ziņojumā (anotācija) nepieciešama informācija arī par valsts budžeta ilgtermiņa saistību maksimāli pieļaujamo apjomu (budžeta likuma 11.pielikums).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skaidrs vai valsts budžeta ilgtermiņa saistību maksimāli pieļaujamais apjoms būs valsts budžeta likuma sastāvā, vai tā būs nozares ministra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Veidenberga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w:t>
            </w:r>
            <w:r w:rsidR="00000000" w:rsidRPr="00000000" w:rsidDel="00000000">
              <w:rPr>
                <w:vertAlign w:val="superscript"/>
                <w:rtl w:val="0"/>
              </w:rPr>
              <w:t xml:space="preserve">5</w:t>
            </w:r>
            <w:r w:rsidR="00000000" w:rsidRPr="00000000" w:rsidDel="00000000">
              <w:rPr>
                <w:rtl w:val="0"/>
              </w:rPr>
              <w:t xml:space="preserve"> ) Finanšu ministram ir tiesības Ministru kabineta noteiktajā kārtībā, informējot par to Saeimu, veikt šādas apropriācijas pārdales un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atsevišķā budžeta resorā plānotās apropriācijas valsts budžeta izpildes procesā pārdalāmajam finansējumam uz ministrijām un citām centrālajām valsts iestādēm, kā arī no ministrijām un citām centrālajām valsts iestādēm uz atsevišķā budžeta resorā  plānoto apropriāciju valsts budžeta izpildes procesā pārdalāmajam finansējumam, ievērojot valsts budžeta likuma nosacījumus kārtējām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iestādēm piešķirto ārvalstu finanšu palīdzības līdzekļu izmantošanai un ārvalstu finanšu palīdzības līdzekļu atlikumu saimnieciskā gada sākumā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iestāžu ieņēmumu par sniegtajiem maksas pakalpojumiem un citu pašu ieņēmumu izmantošanai, kā arī valsts budžeta iestāžu ieņēmumu par sniegtajiem maksas pakalpojumiem un citu pašu ieņēmumu atlikumu saimnieciskā gada sākumā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 ministrijām un citām centrālajām valsts iestādēm transfertu veikšanai valsts budžeta izpildes procesā, kā arī valsts budžeta saņemamajiem transfertiem no pašvaldību budžetiem, no valsts budžeta daļēji finansēto atvasināto publisko personu budžetiem un budžeta nefinansēto iestāžu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sociālās apdrošināšanas aģentūras ieņēmumu par valsts fondēto pensiju shēmas administrēšanu atlikumu saimnieciskā gada sākumā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 Finanšu ministram ir tiesības, ja ir pieņemts Ministru kabineta lēmums un Saeimas Budžeta un finanšu (nodokļu) komisija piecu darba dienu laikā no attiecīgās informācijas saņemšanas dienas nav iebildusi, veikt šādas apropriācijas pārdales un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apropriācijas pārdales no izdevumiem Eiropas Savienības politiku instrumentu un pārējās ārvalstu finanšu palīdzības, emisijas kvotu izsoļu ieņēmumu un Klimata pārmaiņu finanšu instrumentu projektu un pasākumu īstenošanai uz citiem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apropriācijas izmaiņas valsts pamatfunkciju īstenošanai, kas palielina ministrijas vai citas centrālās valsts iestādes turpmākajiem gadiem noteikto maksimāli pieļaujamo izdevumu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apropriācijas pārdales starp valsts budžeta likumā apstiprināto pamatbudžetu un speciālo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apropriācijas pārdales apropriācijas palielināšanai Valsts sociālās apdrošināšanas aģentūras speciālajam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7</w:t>
            </w:r>
            <w:r w:rsidR="00000000" w:rsidRPr="00000000" w:rsidDel="00000000">
              <w:rPr>
                <w:rtl w:val="0"/>
              </w:rPr>
              <w:t xml:space="preserve">) Nozares ministram un citas centrālās valsts iestādes vadītājam ir tiesības valsts budžeta izpildes procesā pārdalīt līdzekļus uz izdevumu transfertu kategorijām izdevumu veikšanai uz pašvaldību budžetiem, uz no valsts budžeta daļēji finansēto atvasināto publisko personu budžetiem un uz budžeta nefinansēto iestāžu budžetiem tikai tad, ja ir pieņemts Ministru kabineta lēmums par apropriācijas sadalījuma izmaiņām un Saeimas Budžeta un finanšu (nodokļu) komisija piecu darba dienu laikā no attiecīgās informācijas saņemšanas dienas nav iebildusi pret apropriācijas sadalījuma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ministrs un citas centrālās valsts iestādes vadītājs veic šādas apropriācijas pārdales: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valsts budžeta iestādēm piešķirto ārvalstu finanšu palīdzības līdzekļu izmantošanai un ārvalstu finanšu palīdzības līdzekļu atlikumu saimnieciskā gada sākumā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iestāžu ieņēmumu par sniegtajiem maksas pakalpojumiem un citu pašu ieņēmumu izmantošanai, kā arī valsts budžeta iestāžu ieņēmumu par sniegtajiem maksas pakalpojumiem un citu pašu ieņēmumu atlikumu saimnieciskā gada sākumā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Gulbe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24-TA-2222</w:t>
    </w:r>
    <w:r>
      <w:br/>
    </w:r>
    <w:r w:rsidR="00000000" w:rsidRPr="00000000" w:rsidDel="00000000">
      <w:rPr>
        <w:rtl w:val="0"/>
      </w:rPr>
      <w:t xml:space="preserve">Izdrukāts 17.09.2024.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24-TA-2222</w:t>
    </w:r>
    <w:r>
      <w:br/>
    </w:r>
    <w:r w:rsidR="00000000" w:rsidRPr="00000000" w:rsidDel="00000000">
      <w:rPr>
        <w:rtl w:val="0"/>
      </w:rPr>
      <w:t xml:space="preserve">Izdrukāts 17.09.2024.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Atzinumi_24-TA-2222.docx</dc:title>
</cp:coreProperties>
</file>

<file path=docProps/custom.xml><?xml version="1.0" encoding="utf-8"?>
<Properties xmlns="http://schemas.openxmlformats.org/officeDocument/2006/custom-properties" xmlns:vt="http://schemas.openxmlformats.org/officeDocument/2006/docPropsVTypes"/>
</file>