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likuma 11. panta 10. punkta grozījumu redakciju precizēt, atsakoties no atsauces uz tehnisko risinājumu, jo neatkarīgi no pašvaldību izmantotā tehniskā risinājuma, tiesiski regulējama ir datu jeb informācijas uzkrāšana un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likuma redakcijas piedāvājumu. Atbilstoši nepieciešamībai tiesiskajā regulējumā nosakāms arī datu apjoms un datu saņēmējs, taču tas var tikt noteikts arī attiecīgos Ministru kabineta noteikumos. Likuma līmenī būtu nosakāmi konkrēti uzdevumi un mērķi, kuru izpildei nepieciešama informācijas aprite. Līdz ar to piedāvātā redakcija var tikt precizēta (ievērojot nepieciešamību regulēt nevis tehnisko risinājumu, bet informācijas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uzkrāt un apstrādāt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personām un mājsaimniecībām piešķirtajiem un izmaksātajiem sociālās palīdzības pabalstiem,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piešķirtajiem un sniegtajiem sociālajiem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veida materiālu atbalstu, ko sociālais dienests ir sniedzis atbilstoši pašvaldības saistošajos noteikumos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29.01.2024.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29.01.2024.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Atzinumi_22-TA-1080.docx</dc:title>
</cp:coreProperties>
</file>

<file path=docProps/custom.xml><?xml version="1.0" encoding="utf-8"?>
<Properties xmlns="http://schemas.openxmlformats.org/officeDocument/2006/custom-properties" xmlns:vt="http://schemas.openxmlformats.org/officeDocument/2006/docPropsVTypes"/>
</file>