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sadaļas apakšsadaļā "Apraksts" iekļauto informāciju,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attiecīgajā apakšsadaļā iekļaujama informācija, kas paskaidro noteikumu projekta izstrādes pamatojumu "Ministrijas / iestādes iniciatīva", nevis noteikumu projekta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projekts neparedz izmaiņas finansējuma apmērā, bet tikai gala labuma guvēju loka paplašināšanu (vēršam uzmanību, ka arī tiesību akta pases rindā "MK lietas pamatojums" minēta </w:t>
            </w:r>
            <w:r w:rsidR="00000000" w:rsidRPr="00000000" w:rsidDel="00000000">
              <w:rPr>
                <w:i w:val="1"/>
                <w:rtl w:val="0"/>
              </w:rPr>
              <w:t xml:space="preserve">brīvo saistību pārdale no investīcijas 2.3.1.2.i uz investīciju 2.2.1.2.i</w:t>
            </w:r>
            <w:r w:rsidR="00000000" w:rsidRPr="00000000" w:rsidDel="00000000">
              <w:rPr>
                <w:rtl w:val="0"/>
              </w:rPr>
              <w:t xml:space="preserve">, ko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Ekonomikas ministrijai skaidrot, vai plānots pašnodarbinātas personas ieskaitīt 2.3.1.2.i. investīcijas rādītājā Nr.64. Ja Ekonomikas ministrija plāno šādu rādītāja uzskaites papildinājumu, lūgums sagatavot un iesūtīt jautājumu saskaņošanai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kā tiks informēti finansējuma saņēmēji un izrietoši arī potenciālie gala labuma guvēji - pašnodarbinātās personas - par plānotajiem grozījumiem, kā arī vai būs nepieciešams veikt grozījumus līgumos un vienošanās par investīciju projekta īstenošanu. Ja tiks veikti grozījumi līgumos un vienošanās par investīciju projekta īstenošanu, aicinām atbilstoši aizpildīt arī anotācijas 2.1. un 7.1.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2.1. sadaļu, ņemot vērā, ka ar plānotajiem grozījumiem tiek paplašināts gala labuma guvēju loks.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ietvaros atbildīgās iestādes pienākumus pilda Ekonomikas ministrija (turpmāk –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621 "Eiropas Savienības Atveseļošanas un noturības mehānisma plāna īstenošanas un uzraudzības kārtība" 2.2. apakšpunktam Atveseļošanas un noturības mehānisma plāna ietvaros resorā plānotās reformas un investīcijas nodrošina un īsteno </w:t>
            </w:r>
            <w:r w:rsidR="00000000" w:rsidRPr="00000000" w:rsidDel="00000000">
              <w:rPr>
                <w:u w:val="single"/>
                <w:rtl w:val="0"/>
              </w:rPr>
              <w:t xml:space="preserve">nozares ministrija</w:t>
            </w:r>
            <w:r w:rsidR="00000000" w:rsidRPr="00000000" w:rsidDel="00000000">
              <w:rPr>
                <w:rtl w:val="0"/>
              </w:rPr>
              <w:t xml:space="preserve"> un Valsts kanceleja, nevis </w:t>
            </w:r>
            <w:r w:rsidR="00000000" w:rsidRPr="00000000" w:rsidDel="00000000">
              <w:rPr>
                <w:u w:val="single"/>
                <w:rtl w:val="0"/>
              </w:rPr>
              <w:t xml:space="preserve">atbildīgās iestādes</w:t>
            </w:r>
            <w:r w:rsidR="00000000" w:rsidRPr="00000000" w:rsidDel="00000000">
              <w:rPr>
                <w:rtl w:val="0"/>
              </w:rPr>
              <w:t xml:space="preserve">, kā tas ir Eiropas Savienības fondu ietvaros. Ievērojot minēto, lūdzam aizstāt noteikumu Nr. 529 13. punktā vārdus "atbildīgās iestādes" ar vārdiem "nozares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ietvaros nozares ministrijas pienākumus pilda Ekonomikas ministrija (turpmāk –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29.09.2025.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25-TA-2136</w:t>
    </w:r>
    <w:r>
      <w:br/>
    </w:r>
    <w:r w:rsidR="00000000" w:rsidRPr="00000000" w:rsidDel="00000000">
      <w:rPr>
        <w:rtl w:val="0"/>
      </w:rPr>
      <w:t xml:space="preserve">Izdrukāts 29.09.2025.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Atzinumi_25-TA-2136.docx</dc:title>
</cp:coreProperties>
</file>

<file path=docProps/custom.xml><?xml version="1.0" encoding="utf-8"?>
<Properties xmlns="http://schemas.openxmlformats.org/officeDocument/2006/custom-properties" xmlns:vt="http://schemas.openxmlformats.org/officeDocument/2006/docPropsVTypes"/>
</file>