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Noteikumi ir attiecināmi uz visām vēja elektrostacijām, kuras ir pieslēgtas elektroenerģijas pārvades vai sadales sistēmai pēc šo noteikumu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esošās Noteikumu projekta 22.punkta redakcijas nolasāms, ka jau šobrīd izbūvētās vēja elektrostacijas, ja vien jaudu nepalielinās, maksājumu kopienai neveiks. Regulatora ieskatā, šādi nosacījumi ražotājus un attiecīgās kopienas nostāda nevienlīdzīgā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Karpoviča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kopienai veicējs ir elektroenerģijas ražotājs, kura vēja elektrostacija atrodas Latvijas Republikas teritorijā vai iekšējos jūras ūdeņos, teritoriālajā jūrā vai ekskluzīvajā ekonomiskajā zonā līdz 25 km attālumā no krasta.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ierosina izmantot vienotu vārda lietojumu viscaur Noteikumu projekta tekstā – vai nu visur “km” (izmantots Noteikumu projekta 2. un 6.2.apakšpunktā), vai “kilometri” (izmantots Noteikumu projekta 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Karpoviča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pievērst uzmanību jēdzienam “vēja elektrostacijas augstums”, pārliecinoties, vai attiecīgajos tiesību aktos ir vienota izpratne par šo jēdzienu, vienlaikus iekļaujot atsauci un/vai norādi uz regulējumu, kur noteikts, kā tieši mēra vēja elektrostacijas augstumu. Proti, ir jāapsver arī citi mērījumi, piemēram, augstākais vēja elektrostacijas turbīnas lāpstiņas punkts, gondolas novietojuma augstums, turbīnas lāpstiņu garums un turbīnas kopējais augstums.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Karpoviča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Maksājuma kopienai saņēmēji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Klimata un enerģētikas ministrija uzskata, ka zemes īpašnieki nav ietverami maksājuma kopienai saņēmēju sarakstā, to nepieciešams pamatot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Karpoviča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Maksājums kopienai ir veicams par vēja elektrostacijas palielināto jaudas apjomu, 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vai Noteikumu projekta 23.punktā minētais maksājums kopienai arī paredzēts 2500 euro apmērā un vai tas ir vienreizējs maksājums, vai turpmāk seko maksājumi ik gadu. Saīsinājums “m” aizstājams ar “metriem”, ievērojot vārda lietojumu Noteikumu projekta 5.punktā.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23.1.apakšpunkts aiz vārdiem “vēja elektrostacijām” papildināms ar vārdiem “ar augstumu”.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Karpoviča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