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pilsoņu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trešo valstu pilsoņu uzturēšanās Latvijā tiesiskā regulējuma pilnveidošanu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Piedāvātā rīcība ir loģiska, lai mazinātu fiktīvo studiju līgumu un uzturēšanās riskus. Tomēr, lai tā sekmētu NAP2027 mērķu sasniegšanu, aicinām izvērtēt iespējamus papildinājumus trīs virzienos: studiju kvalitātes un reputācijas celšana (stingrākas uzņemšanas prasības); atbalsts tālākai integrācijai pēc studijām (karjeras centri, valodas kursi, darba tirgus iesaiste); līdzsvarota pieeja, lai netiktu zaudēti potenciāli vērtīgi studenti, kas var sniegt pienesumu cilvēkkapitālam Latvijā.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Otto Tabuns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05.09.2025.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05.09.2025.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