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24-TA-1475: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(Publiskajā apspriedē saņemto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"33</w:t>
            </w:r>
            <w:r w:rsidR="00000000" w:rsidRPr="00000000" w:rsidDel="00000000">
              <w:rPr>
                <w:vertAlign w:val="superscript"/>
                <w:rtl w:val="0"/>
              </w:rPr>
              <w:t xml:space="preserve">1</w:t>
            </w:r>
            <w:r w:rsidR="00000000" w:rsidRPr="00000000" w:rsidDel="00000000">
              <w:rPr>
                <w:rtl w:val="0"/>
              </w:rPr>
              <w:t xml:space="preserve">) rūpnieciskie apaļkoki - zāģbaļķi, finierkluči, papīrmalka (apaļkoku vai šķeltā veidā), kā arī citi apaļkoki, kas ir derīgi rūpnieciskai izmantošanai, izņemot apaļkokus, kuru raksturlielumi, piemēram, suga, izmēri, taisnums un zarainums, tos dara nederīgus rūpnieciskai izmantošanai, ko atkarībā no attiecīgajiem meža un tirgus apstākļiem definē un pienācīgi pamato dalībvalstis;".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vārdus "ko atkarībā no attiecīgajiem meža un tirgus apstākļiem definē un pienācīgi pamato dalībvalstis" un tā vietā likumprojektā sniegt attiecīgu skaidrojumu (definīciju), bet likumprojekta anotācijā - pienācīgu pamatojumu, tādējādi pienācīgi pārņemot Eiropas Parlamenta un Padomes 2023. gada 18. oktobra direktīvas (ES) 2023/2413, ar ko attiecībā uz atjaunīgo energoresursu enerģijas izmantošanas veicināšanu groza direktīvu (ES) 2018/2001, regulu (ES) 2018/1999 un direktīvu 98/70/EK un atceļ Padomes direktīvu (ES) 2015/652 (turpmāk - direktīva Nr. 2023/2413), 1.panta "1" punkta "a" apakšpunktā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"Klimata un enerģētikas ministrija saskaņo šā panta sestajā daļā minētos atbalsta shēmas nosacījumus ar citas Eiropas Savienības dalībvalsts kompetento iestādi, saskaņojot arī atjaunīgās enerģijas apjoma pārdali iesaistīto dalībvalstu atjaunīgās enerģijas datos, un par minētās atbalsta shēmas nosacījumiem trīs mēnešu laikā pēc pirmā gada, kad atbalsta shēmas nosacījumi ir stājušies spēkā, paziņo Eiropas Komisijai.".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likumprojekta anotācijā skaidrot iespējamās tiesiskās sekas, ja citas Eiropas Savienības dalībvalsts kompetentā iestāde atbalsta shēmas nosacījumus nesaskaņo, piemēram, vai šādos gadījumos piemērojama Enerģētikas likuma 58.</w:t>
            </w:r>
            <w:r w:rsidR="00000000" w:rsidRPr="00000000" w:rsidDel="00000000">
              <w:rPr>
                <w:vertAlign w:val="superscript"/>
                <w:rtl w:val="0"/>
              </w:rPr>
              <w:t xml:space="preserve">5</w:t>
            </w:r>
            <w:r w:rsidR="00000000" w:rsidRPr="00000000" w:rsidDel="00000000">
              <w:rPr>
                <w:rtl w:val="0"/>
              </w:rPr>
              <w:t xml:space="preserve"> pantā paredzētā kārtība, tostarp atkārtoti iesniedzams Klimata un enerģētikas ministrijas ziņojums. Nepieciešamības gadījumā lūdzam precizēt likumprojektu. Papildus lūdzam likumprojekta anotācijā detalizētāk skaidrot vairāku dalībvalstu atbalsta shēmu apvienošanas procesu, tostarp, vai atsevišķos gadījumos šī procesa ietvaros paredzēts noslēgt arī starptautiskus līgumus (vai starpresoru vienošanās), kur atbalsta shēmas nosacījumi tiktu ietverti.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kārtību, kādā šā likuma 58.</w:t>
            </w:r>
            <w:r w:rsidR="00000000" w:rsidRPr="00000000" w:rsidDel="00000000">
              <w:rPr>
                <w:vertAlign w:val="superscript"/>
                <w:rtl w:val="0"/>
              </w:rPr>
              <w:t xml:space="preserve">7</w:t>
            </w:r>
            <w:r w:rsidR="00000000" w:rsidRPr="00000000" w:rsidDel="00000000">
              <w:rPr>
                <w:rtl w:val="0"/>
              </w:rPr>
              <w:t xml:space="preserve"> panta pirmajā daļā minētie pierādījumi tiek ziņoti energoresursu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Valsts sekretāru sanāksmes 2020. gada 9. janvāra sēdē Tieslietu ministrijai doto uzdevumu (prot. Nr. 2 14. § 2. punkts[</w:t>
            </w:r>
            <w:r w:rsidR="00000000" w:rsidRPr="00000000" w:rsidDel="00000000">
              <w:rPr>
                <w:vertAlign w:val="superscript"/>
                <w:rtl w:val="0"/>
              </w:rPr>
              <w:t xml:space="preserve">1</w:t>
            </w:r>
            <w:r w:rsidR="00000000" w:rsidRPr="00000000" w:rsidDel="00000000">
              <w:rPr>
                <w:rtl w:val="0"/>
              </w:rPr>
              <w:t xml:space="preserve">]), lūdzam izvērtēt likumprojekta 4. pantā ietvertā pilnvarojuma atbilstību tiesību akta saturam, kuru paredzēts izdot uz šā pilnvarojuma pamata. Vēršam uzmanību, ka saskaņā ar Ministru kabineta iekārtas likuma 31. panta pirmās daļas 1. punktu, pilnvarojot Ministru kabinetu izdot noteikumus, pilnvarojumā jānorāda tā satura galvenie virzieni. Pilnvarojuma saturam ir jābūt tik skaidram, lai atklātu pilnvarojuma būtību un jēgu.[</w:t>
            </w:r>
            <w:r w:rsidR="00000000" w:rsidRPr="00000000" w:rsidDel="00000000">
              <w:rPr>
                <w:vertAlign w:val="superscript"/>
                <w:rtl w:val="0"/>
              </w:rPr>
              <w:t xml:space="preserve">2</w:t>
            </w:r>
            <w:r w:rsidR="00000000" w:rsidRPr="00000000" w:rsidDel="00000000">
              <w:rPr>
                <w:rtl w:val="0"/>
              </w:rPr>
              <w:t xml:space="preserve">] Nav pieļaujama personas pamattiesību ierobežošana, atsaucoties uz neskaidru vai pārprotamu likumdevēja pilnvarojumu.[</w:t>
            </w:r>
            <w:r w:rsidR="00000000" w:rsidRPr="00000000" w:rsidDel="00000000">
              <w:rPr>
                <w:vertAlign w:val="superscript"/>
                <w:rtl w:val="0"/>
              </w:rPr>
              <w:t xml:space="preserve">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skaitā vēršam uzmanību, ka minētais pilnvarojums paredz noteikt “kārtību, kādā šā likuma 58.</w:t>
            </w:r>
            <w:r w:rsidR="00000000" w:rsidRPr="00000000" w:rsidDel="00000000">
              <w:rPr>
                <w:vertAlign w:val="superscript"/>
                <w:rtl w:val="0"/>
              </w:rPr>
              <w:t xml:space="preserve">7</w:t>
            </w:r>
            <w:r w:rsidR="00000000" w:rsidRPr="00000000" w:rsidDel="00000000">
              <w:rPr>
                <w:rtl w:val="0"/>
              </w:rPr>
              <w:t xml:space="preserve"> panta pirmajā daļā minētie pierādījumi tiek ziņoti energoresursu informācijas sistēmā”. Skaidrojam, ka pilnvarojumā minētais vārds "kārtība" pamatā piešķir Ministru kabinetam tiesības noteikumos regulēt attiecīgā jautājuma procesuālo raksturu, proti, izstrādāt noteiktu procedūru. Vienlaikus tas neizslēdz Ministru kabineta tiesības pieņemt materiāla rakstura normas, ciktāl netiek pārkāpts attiecīgais pilnvarojums. Tomēr Ministru kabineta noteikumos nevar būt iekļautas tādas materiālās tiesību normas, kas veidotu no pilnvarojošā likuma būtiski atšķirīgas tiesiskās attiecības.[</w:t>
            </w:r>
            <w:r w:rsidR="00000000" w:rsidRPr="00000000" w:rsidDel="00000000">
              <w:rPr>
                <w:vertAlign w:val="superscript"/>
                <w:rtl w:val="0"/>
              </w:rPr>
              <w:t xml:space="preserve">4</w:t>
            </w:r>
            <w:r w:rsidR="00000000" w:rsidRPr="00000000" w:rsidDel="00000000">
              <w:rPr>
                <w:rtl w:val="0"/>
              </w:rPr>
              <w:t xml:space="preserve">] Ja tiesību normā jēdziens "kārtība" nav izmantots, tad pilnvarojums ir atšķirīgs un aptver ne tikai tiesības regulēt darbību procesuālo aspektu.[</w:t>
            </w:r>
            <w:r w:rsidR="00000000" w:rsidRPr="00000000" w:rsidDel="00000000">
              <w:rPr>
                <w:vertAlign w:val="superscript"/>
                <w:rtl w:val="0"/>
              </w:rPr>
              <w:t xml:space="preserve">5</w:t>
            </w:r>
            <w:r w:rsidR="00000000" w:rsidRPr="00000000" w:rsidDel="00000000">
              <w:rPr>
                <w:rtl w:val="0"/>
              </w:rPr>
              <w:t xml:space="preserve">] Šajā sakarā vēršam uzmanību uz Administratīvā procesa likuma 11. pantā minēto, ka Ministru kabineta noteikumi var būt par pamatu privātpersonai nelabvēlīgam administratīvajam aktam vai faktiskai rīcībai tikai tad, ja likumā tieši vai netieši ir ietverts pilnvarojums Ministru kabinetam, izdodot noteikumus, tajos paredzēt šādus administratīvos aktus vai faktisko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un skaidrot likumprojekta anotācijas 4. sadaļā likumprojekta 4. pantā ietverto pilnvarojumu, nepieciešamības gadījumā minēto pilnvarojumu precizējot (piem., ja paredzēts Ministru kabineta noteikumos izsmeļoši noteikt, kādi pierādījumi iesniedzami vai paredzēt atbrīvojumus no pierādīšanas u.tml.) precizēt vai papildināt šo pilnvarojumu.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http://tap.mk.gov.lv/mk/vsssanaksmes/saraksts/protokols/?protokols=2020-01-09</w:t>
            </w:r>
            <w:r w:rsidR="00000000" w:rsidRPr="00000000" w:rsidDel="00000000">
              <w:rPr>
                <w:vertAlign w:val="superscript"/>
                <w:rtl w:val="0"/>
              </w:rPr>
              <w:t xml:space="preserve">[2] Satversmes tiesas 2015. gada 14. oktobra spriedums lietā Nr. 2015-05-03, 13.1. apakšpunkts.</w:t>
            </w:r>
            <w:r w:rsidR="00000000" w:rsidRPr="00000000" w:rsidDel="00000000">
              <w:rPr>
                <w:vertAlign w:val="superscript"/>
                <w:rtl w:val="0"/>
              </w:rPr>
              <w:t xml:space="preserve">[3] Satversmes tiesas 2011. gada 11. janvāra spriedums lietā Nr. 2010-40-03, 10.1. apakšpunkts.</w:t>
            </w:r>
            <w:r w:rsidR="00000000" w:rsidRPr="00000000" w:rsidDel="00000000">
              <w:rPr>
                <w:vertAlign w:val="superscript"/>
                <w:rtl w:val="0"/>
              </w:rPr>
              <w:t xml:space="preserve">[4] Satversmes tiesas 2011. gada 6. maija spriedums lietā Nr. 2010-57-03, 13.3. apakšpunkts.</w:t>
            </w:r>
            <w:r w:rsidR="00000000" w:rsidRPr="00000000" w:rsidDel="00000000">
              <w:rPr>
                <w:vertAlign w:val="superscript"/>
                <w:rtl w:val="0"/>
              </w:rPr>
              <w:t xml:space="preserve">[5] Satversmes tiesas 2016. gada 2. marta spriedums lietā Nr. 2015-11-03, 23.3.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Iestādes, izstrādājot atbalsta shēmas no biodegvielām, bioloģiskajiem šķidrajiem kurināmajiem un biomasas kurināmajiem vai biomasas degvielām ražotās enerģijas izmantošanai, minētās atbalsta shēmas izstrādā tā, lai nestimulētu neilgtspējīgus ražošanas un izmantošanas paņēmienus un nekropļotu konkurenci ar materiālu nozarēm, lai nodrošinātu, ka koksnes biomasa tiek izmantota atbilstoši tās augstākajai ekonomiskajai un vidiskajai pievienotajai vērtībai, ievērojot šādu kaskadēšanas principa prioritāšu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koksnes materiālu produkti;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koksnes materiālu produktu kalpošanas laika pagarināšana;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atkalizmantošana;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enerģijas ražošana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apglabāšana vai noglabāšana, kā arī iznīcināšana.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panta sestajā daļā minētās iestādes, izstrādājot minētās atbalsta shēmas, var pieņemt lēmumu neievērot kaskadēšanas principa prioritāšu secību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tas vajadzīgs, lai nodrošinātu enerģijas piegādes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vietējā rūpniecība kvantitatīvi vai tehniski nespēj izmantot meža biomasu atbilstoši ekonomiskajai un vidiskajai pievienotajai vērtībai attiecībā uz šādām izejvielām: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meža biomasas izejvielas, kas iegūtas tādās mežu apsaimniekošanas darbībās kā jaunaudžu kopšana vai meža ugunsgrēku seku likvidēšana;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meža biomasas izejvielas, kas iegūtas sanitārajās cirtēs vai kopšanas cirtēs;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meža biomasas izejvielas, kuras raksturlielumu dēļ nav ekonomiski pamatotas izmantošanai un piemērotas Latvijas kokapstrādes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meža biomasas izejvielas, kas iegūtas no lauksaimniecībā izmantotajām zemēm un krūmājiem.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panta sestajā daļā minētā iestāde šā panta septītajā daļā minēto lēmumu izskaidro attiecīgā normatīvā regulējuma par atbalsta shēmu anotācijā un informāciju par to pēc atbalsta shēmas normatīvā regulējuma apstiprināšanas iesniedz Klimata un enerģētikas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Klimata un enerģētikas ministrija katru gadu līdz 15.martam apkopo šā panta astotajā daļā minēto informāciju un iesniedz Eiropas Komisijā kopsavilkumu par šā panta septītajā daļā minētajiem lēmumiem neievērot šā panta sestajā daļā noteikto meža biomasas izmantojuma kaskadēšanas principu, iekļaujot informāciju par šī principa neievērošanas apsvērumiem un ģeogrāfisko mērogu, uz kādu tās attiecas.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Iestādes, izstrādājot atbalsta shēmas no biodegvielām, bioloģiskajiem šķidrajiem kurināmajiem un biomasas kurināmajiem vai biomasas degvielām ražotās enerģijas izmantošanai, komercdarbības atbalsta ietvaros nepieņem lēmumu par tieša finansiāla atbalsta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zāģbaļķu, finierkluču, rūpniecisko apaļkoku, celmu un sakņu izmantošanai enerģijas ražošanai;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atkritumu reģenerācijai, ja vien nav izpildīti normatīvajos aktos par atkritumu apsaimniekošanu noteiktie dalītās savākšanas pienākumi.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Jaunas atbalsta shēmas nevar tikt izstrādātas vai esošās atbalsta shēmas nevar atjaunot elektroenerģijas ražošanai no meža biomasas iekārtās, kurās ražo tikai elektroenerģiju, izņemot, ja šāda elektroenerģijas ražošana neatbilst vismaz vienam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tā tiek ražota reģionā, kas ir iekļauts Latvijas vai citas Eiropas Savienības dalībvalsts teritoriālajā taisnīgas pārkārtošanās plānā, kurš sagatavots saskaņā ar Eiropas Parlamenta un Padomes 2021.gada 24.jūlija regulas (ES) 2021/1056, ar ko izveido Taisnīgas pārkārtošanās fondu 11. pantu, un saražotā elektroenerģija atbilst šā likuma 58.</w:t>
            </w:r>
            <w:r w:rsidR="00000000" w:rsidRPr="00000000" w:rsidDel="00000000">
              <w:rPr>
                <w:vertAlign w:val="superscript"/>
                <w:rtl w:val="0"/>
              </w:rPr>
              <w:t xml:space="preserve">9</w:t>
            </w:r>
            <w:r w:rsidR="00000000" w:rsidRPr="00000000" w:rsidDel="00000000">
              <w:rPr>
                <w:rtl w:val="0"/>
              </w:rPr>
              <w:t xml:space="preserve"> panta pirmās daļas 4.punktā minētajiem elektroenerģijai piemērojamiem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 tiek ražota iekārtās, kurās ir uzstādītas biomasas oglekļa emisiju uztveršanas iekārtas un tiek nodrošināta uztvertā oglekļa emisiju atkalizmantošana vai uzglabāšana vai noglabāšana un saražotā elektroenerģija atbilst šā likuma 58.</w:t>
            </w:r>
            <w:r w:rsidR="00000000" w:rsidRPr="00000000" w:rsidDel="00000000">
              <w:rPr>
                <w:vertAlign w:val="superscript"/>
                <w:rtl w:val="0"/>
              </w:rPr>
              <w:t xml:space="preserve">9</w:t>
            </w:r>
            <w:r w:rsidR="00000000" w:rsidRPr="00000000" w:rsidDel="00000000">
              <w:rPr>
                <w:rtl w:val="0"/>
              </w:rPr>
              <w:t xml:space="preserve"> panta pirmās daļas 4.punktā minētajiem elektroenerģijai piemērojamiem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5. pantā norādīt, kāda informācija saistībā ar normatīvo regulējumu par atbalsta shēmu ir Klimata un enerģētikas ministrijā jāiesniedz (proti, informācija par lēmumu, normatīvo regulējumu vai atbalsta shēmu) un kādā termiņā šī informācija ir jāiesniedz, tādējādi nodrošinot nepārprotamu attiecīgās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Iestādes, izstrādājot atbalsta shēmas no biodegvielām, bioloģiskajiem šķidrajiem kurināmajiem un biomasas kurināmajiem vai biomasas degvielām ražotās enerģijas izmantošanai, minētās atbalsta shēmas izstrādā tā, lai nestimulētu neilgtspējīgus ražošanas un izmantošanas paņēmienus un nekropļotu konkurenci ar materiālu nozarēm, lai nodrošinātu, ka koksnes biomasa tiek izmantota atbilstoši tās augstākajai ekonomiskajai un vidiskajai pievienotajai vērtībai, ievērojot šādu kaskadēšanas principa prioritāšu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koksnes materiālu produkti;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koksnes materiālu produktu kalpošanas laika pagarināšana;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atkalizmantošana;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enerģijas ražošana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apglabāšana vai noglabāšana, kā arī iznīcināšana.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panta sestajā daļā minētās iestādes, izstrādājot minētās atbalsta shēmas, var pieņemt lēmumu neievērot kaskadēšanas principa prioritāšu secību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tas vajadzīgs, lai nodrošinātu enerģijas piegādes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vietējā rūpniecība kvantitatīvi vai tehniski nespēj izmantot meža biomasu atbilstoši ekonomiskajai un vidiskajai pievienotajai vērtībai attiecībā uz šādām izejvielām: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meža biomasas izejvielas, kas iegūtas tādās mežu apsaimniekošanas darbībās kā jaunaudžu kopšana vai meža ugunsgrēku seku likvidēšana;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meža biomasas izejvielas, kas iegūtas sanitārajās cirtēs vai kopšanas cirtēs;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meža biomasas izejvielas, kuras raksturlielumu dēļ nav ekonomiski pamatotas izmantošanai un piemērotas Latvijas kokapstrādes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meža biomasas izejvielas, kas iegūtas no lauksaimniecībā izmantotajām zemēm un krūmājiem.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panta sestajā daļā minētā iestāde šā panta septītajā daļā minēto lēmumu izskaidro attiecīgā normatīvā regulējuma par atbalsta shēmu anotācijā un informāciju par to pēc atbalsta shēmas normatīvā regulējuma apstiprināšanas iesniedz Klimata un enerģētikas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Klimata un enerģētikas ministrija katru gadu līdz 15.martam apkopo šā panta astotajā daļā minēto informāciju un iesniedz Eiropas Komisijā kopsavilkumu par šā panta septītajā daļā minētajiem lēmumiem neievērot šā panta sestajā daļā noteikto meža biomasas izmantojuma kaskadēšanas principu, iekļaujot informāciju par šī principa neievērošanas apsvērumiem un ģeogrāfisko mērogu, uz kādu tās attiecas.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Iestādes, izstrādājot atbalsta shēmas no biodegvielām, bioloģiskajiem šķidrajiem kurināmajiem un biomasas kurināmajiem vai biomasas degvielām ražotās enerģijas izmantošanai, komercdarbības atbalsta ietvaros nepieņem lēmumu par tieša finansiāla atbalsta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zāģbaļķu, finierkluču, rūpniecisko apaļkoku, celmu un sakņu izmantošanai enerģijas ražošanai;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atkritumu reģenerācijai, ja vien nav izpildīti normatīvajos aktos par atkritumu apsaimniekošanu noteiktie dalītās savākšanas pienākumi.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Jaunas atbalsta shēmas nevar tikt izstrādātas vai esošās atbalsta shēmas nevar atjaunot elektroenerģijas ražošanai no meža biomasas iekārtās, kurās ražo tikai elektroenerģiju, izņemot, ja šāda elektroenerģijas ražošana neatbilst vismaz vienam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tā tiek ražota reģionā, kas ir iekļauts Latvijas vai citas Eiropas Savienības dalībvalsts teritoriālajā taisnīgas pārkārtošanās plānā, kurš sagatavots saskaņā ar Eiropas Parlamenta un Padomes 2021.gada 24.jūlija regulas (ES) 2021/1056, ar ko izveido Taisnīgas pārkārtošanās fondu 11. pantu, un saražotā elektroenerģija atbilst šā likuma 58.</w:t>
            </w:r>
            <w:r w:rsidR="00000000" w:rsidRPr="00000000" w:rsidDel="00000000">
              <w:rPr>
                <w:vertAlign w:val="superscript"/>
                <w:rtl w:val="0"/>
              </w:rPr>
              <w:t xml:space="preserve">9</w:t>
            </w:r>
            <w:r w:rsidR="00000000" w:rsidRPr="00000000" w:rsidDel="00000000">
              <w:rPr>
                <w:rtl w:val="0"/>
              </w:rPr>
              <w:t xml:space="preserve"> panta pirmās daļas 4.punktā minētajiem elektroenerģijai piemērojamiem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 tiek ražota iekārtās, kurās ir uzstādītas biomasas oglekļa emisiju uztveršanas iekārtas un tiek nodrošināta uztvertā oglekļa emisiju atkalizmantošana vai uzglabāšana vai noglabāšana un saražotā elektroenerģija atbilst šā likuma 58.</w:t>
            </w:r>
            <w:r w:rsidR="00000000" w:rsidRPr="00000000" w:rsidDel="00000000">
              <w:rPr>
                <w:vertAlign w:val="superscript"/>
                <w:rtl w:val="0"/>
              </w:rPr>
              <w:t xml:space="preserve">9</w:t>
            </w:r>
            <w:r w:rsidR="00000000" w:rsidRPr="00000000" w:rsidDel="00000000">
              <w:rPr>
                <w:rtl w:val="0"/>
              </w:rPr>
              <w:t xml:space="preserve"> panta pirmās daļas 4.punktā minētajiem elektroenerģijai piemērojamiem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5. pantā ietvertās atsauces uz apstiprināto normatīvo regulējumu un tā anotāciju aizstāt ar atsaucēm uz konkrētiem normatīvajiem aktiem un dokumentiem, kas tiek virzīti līdztekus ar šiem aktiem. Norādām, ka atbilstoši Latvijas Republikas Satversmes 64. pantam likumdošanas tiesības pieder Saeimai, kā arī tautai šinī Satversmē paredzētā kārtībā un apmēros. Skaidrojam, ka vispārsaistošus normatīvos aktus izdot var Latvijas tauta un šādas valsts institūcijas: Saeima un noteiktā (ierobežotā) apmērā Ministru kabinets un pašvaldībām. Attiecīgi gadījumā, ja ar likumprojektā minēto normatīvo regulējumu apstiprināšanu par atbalsta shēmām saprotama Ministru kabineta noteikumu (kam pievieno informāciju par izstrādātā projekta nepiecieša­mību un ietekmes izvērtējumu) un pašvaldību saistošie noteikumu izdošana (kam pievieno paskaidrojuma rakstu ar saistošo noteikumu sākotnējās ietekmes izvērtējumu), nepieciešams attiecīgi precizēt minēto likumprojekta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Iestādes, izstrādājot atbalsta shēmas no biodegvielām, bioloģiskajiem šķidrajiem kurināmajiem un biomasas kurināmajiem vai biomasas degvielām ražotās enerģijas izmantošanai, minētās atbalsta shēmas izstrādā tā, lai nestimulētu neilgtspējīgus ražošanas un izmantošanas paņēmienus un nekropļotu konkurenci ar materiālu nozarēm, lai nodrošinātu, ka koksnes biomasa tiek izmantota atbilstoši tās augstākajai ekonomiskajai un vidiskajai pievienotajai vērtībai, ievērojot šādu kaskadēšanas principa prioritāšu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koksnes materiālu produkti;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koksnes materiālu produktu kalpošanas laika pagarināšana;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atkalizmantošana;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enerģijas ražošana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apglabāšana vai noglabāšana, kā arī iznīcināšana.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panta sestajā daļā minētās iestādes, izstrādājot minētās atbalsta shēmas, var pieņemt lēmumu neievērot kaskadēšanas principa prioritāšu secību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tas vajadzīgs, lai nodrošinātu enerģijas piegādes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vietējā rūpniecība kvantitatīvi vai tehniski nespēj izmantot meža biomasu atbilstoši ekonomiskajai un vidiskajai pievienotajai vērtībai attiecībā uz šādām izejvielām: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meža biomasas izejvielas, kas iegūtas tādās mežu apsaimniekošanas darbībās kā jaunaudžu kopšana vai meža ugunsgrēku seku likvidēšana;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meža biomasas izejvielas, kas iegūtas sanitārajās cirtēs vai kopšanas cirtēs;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meža biomasas izejvielas, kuras raksturlielumu dēļ nav ekonomiski pamatotas izmantošanai un piemērotas Latvijas kokapstrādes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meža biomasas izejvielas, kas iegūtas no lauksaimniecībā izmantotajām zemēm un krūmājiem.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panta sestajā daļā minētā iestāde šā panta septītajā daļā minēto lēmumu izskaidro attiecīgā normatīvā regulējuma par atbalsta shēmu anotācijā un informāciju par to pēc atbalsta shēmas normatīvā regulējuma apstiprināšanas iesniedz Klimata un enerģētikas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Klimata un enerģētikas ministrija katru gadu līdz 15.martam apkopo šā panta astotajā daļā minēto informāciju un iesniedz Eiropas Komisijā kopsavilkumu par šā panta septītajā daļā minētajiem lēmumiem neievērot šā panta sestajā daļā noteikto meža biomasas izmantojuma kaskadēšanas principu, iekļaujot informāciju par šī principa neievērošanas apsvērumiem un ģeogrāfisko mērogu, uz kādu tās attiecas.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Iestādes, izstrādājot atbalsta shēmas no biodegvielām, bioloģiskajiem šķidrajiem kurināmajiem un biomasas kurināmajiem vai biomasas degvielām ražotās enerģijas izmantošanai, komercdarbības atbalsta ietvaros nepieņem lēmumu par tieša finansiāla atbalsta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zāģbaļķu, finierkluču, rūpniecisko apaļkoku, celmu un sakņu izmantošanai enerģijas ražošanai;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atkritumu reģenerācijai, ja vien nav izpildīti normatīvajos aktos par atkritumu apsaimniekošanu noteiktie dalītās savākšanas pienākumi.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Jaunas atbalsta shēmas nevar tikt izstrādātas vai esošās atbalsta shēmas nevar atjaunot elektroenerģijas ražošanai no meža biomasas iekārtās, kurās ražo tikai elektroenerģiju, izņemot, ja šāda elektroenerģijas ražošana neatbilst vismaz vienam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tā tiek ražota reģionā, kas ir iekļauts Latvijas vai citas Eiropas Savienības dalībvalsts teritoriālajā taisnīgas pārkārtošanās plānā, kurš sagatavots saskaņā ar Eiropas Parlamenta un Padomes 2021.gada 24.jūlija regulas (ES) 2021/1056, ar ko izveido Taisnīgas pārkārtošanās fondu 11. pantu, un saražotā elektroenerģija atbilst šā likuma 58.</w:t>
            </w:r>
            <w:r w:rsidR="00000000" w:rsidRPr="00000000" w:rsidDel="00000000">
              <w:rPr>
                <w:vertAlign w:val="superscript"/>
                <w:rtl w:val="0"/>
              </w:rPr>
              <w:t xml:space="preserve">9</w:t>
            </w:r>
            <w:r w:rsidR="00000000" w:rsidRPr="00000000" w:rsidDel="00000000">
              <w:rPr>
                <w:rtl w:val="0"/>
              </w:rPr>
              <w:t xml:space="preserve"> panta pirmās daļas 4.punktā minētajiem elektroenerģijai piemērojamiem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 tiek ražota iekārtās, kurās ir uzstādītas biomasas oglekļa emisiju uztveršanas iekārtas un tiek nodrošināta uztvertā oglekļa emisiju atkalizmantošana vai uzglabāšana vai noglabāšana un saražotā elektroenerģija atbilst šā likuma 58.</w:t>
            </w:r>
            <w:r w:rsidR="00000000" w:rsidRPr="00000000" w:rsidDel="00000000">
              <w:rPr>
                <w:vertAlign w:val="superscript"/>
                <w:rtl w:val="0"/>
              </w:rPr>
              <w:t xml:space="preserve">9</w:t>
            </w:r>
            <w:r w:rsidR="00000000" w:rsidRPr="00000000" w:rsidDel="00000000">
              <w:rPr>
                <w:rtl w:val="0"/>
              </w:rPr>
              <w:t xml:space="preserve"> panta pirmās daļas 4.punktā minētajiem elektroenerģijai piemērojamiem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izvērstāk pamatot izņēmuma noteikšanu attiecībā uz meža biomasas izejvielām, kas iegūtas no lauksaimniecībā izmantotajām zemēm un krūmājiem. Paužam bažas, ka minētais izņēmums, paredzot atsevišķu izejvielu grupu, varētu būt konstruēts pārāk plaši, salīdzinot ar direktīvas Nr. 2023/2413 1. pantā izteiktā Eiropas Parlamenta un Padomes 2018. gada 11. decembra Direktīvas (ES) 2018/2001 par no atjaunojamajiem energoresursiem iegūtas enerģijas izmantošanas veicināšanu (turpmāk - direktīva Nr. 2018/2001) 3. panta 3a. punkta apakšpunktos ietverto izņēmumu formulējumu. Tādēļ anotācijā nepieciešams pamatoti skaidrot, kuram no minētajiem direktīvas apakšpunktiem atbilst likumprojekta 5. pantā ietvertajā Enerģētikas likuma 58.</w:t>
            </w:r>
            <w:r w:rsidR="00000000" w:rsidRPr="00000000" w:rsidDel="00000000">
              <w:rPr>
                <w:vertAlign w:val="superscript"/>
                <w:rtl w:val="0"/>
              </w:rPr>
              <w:t xml:space="preserve">11</w:t>
            </w:r>
            <w:r w:rsidR="00000000" w:rsidRPr="00000000" w:rsidDel="00000000">
              <w:rPr>
                <w:rtl w:val="0"/>
              </w:rPr>
              <w:t xml:space="preserve"> panta septītās daļas "d" apakšpunktā paredzētais izņēmums.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Iestādes, izstrādājot atbalsta shēmas no biodegvielām, bioloģiskajiem šķidrajiem kurināmajiem un biomasas kurināmajiem vai biomasas degvielām ražotās enerģijas izmantošanai, minētās atbalsta shēmas izstrādā tā, lai nestimulētu neilgtspējīgus ražošanas un izmantošanas paņēmienus un nekropļotu konkurenci ar materiālu nozarēm, lai nodrošinātu, ka koksnes biomasa tiek izmantota atbilstoši tās augstākajai ekonomiskajai un vidiskajai pievienotajai vērtībai, ievērojot šādu kaskadēšanas principa prioritāšu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koksnes materiālu produkti;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koksnes materiālu produktu kalpošanas laika pagarināšana;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atkalizmantošana;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enerģijas ražošana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apglabāšana vai noglabāšana, kā arī iznīcināšana.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panta sestajā daļā minētās iestādes, izstrādājot minētās atbalsta shēmas, var pieņemt lēmumu neievērot kaskadēšanas principa prioritāšu secību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tas vajadzīgs, lai nodrošinātu enerģijas piegādes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vietējā rūpniecība kvantitatīvi vai tehniski nespēj izmantot meža biomasu atbilstoši ekonomiskajai un vidiskajai pievienotajai vērtībai attiecībā uz šādām izejvielām: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meža biomasas izejvielas, kas iegūtas tādās mežu apsaimniekošanas darbībās kā jaunaudžu kopšana vai meža ugunsgrēku seku likvidēšana;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meža biomasas izejvielas, kas iegūtas sanitārajās cirtēs vai kopšanas cirtēs;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meža biomasas izejvielas, kuras raksturlielumu dēļ nav ekonomiski pamatotas izmantošanai un piemērotas Latvijas kokapstrādes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meža biomasas izejvielas, kas iegūtas no lauksaimniecībā izmantotajām zemēm un krūmājiem.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panta sestajā daļā minētā iestāde šā panta septītajā daļā minēto lēmumu izskaidro attiecīgā normatīvā regulējuma par atbalsta shēmu anotācijā un informāciju par to pēc atbalsta shēmas normatīvā regulējuma apstiprināšanas iesniedz Klimata un enerģētikas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Klimata un enerģētikas ministrija katru gadu līdz 15.martam apkopo šā panta astotajā daļā minēto informāciju un iesniedz Eiropas Komisijā kopsavilkumu par šā panta septītajā daļā minētajiem lēmumiem neievērot šā panta sestajā daļā noteikto meža biomasas izmantojuma kaskadēšanas principu, iekļaujot informāciju par šī principa neievērošanas apsvērumiem un ģeogrāfisko mērogu, uz kādu tās attiecas.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Iestādes, izstrādājot atbalsta shēmas no biodegvielām, bioloģiskajiem šķidrajiem kurināmajiem un biomasas kurināmajiem vai biomasas degvielām ražotās enerģijas izmantošanai, komercdarbības atbalsta ietvaros nepieņem lēmumu par tieša finansiāla atbalsta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zāģbaļķu, finierkluču, rūpniecisko apaļkoku, celmu un sakņu izmantošanai enerģijas ražošanai;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atkritumu reģenerācijai, ja vien nav izpildīti normatīvajos aktos par atkritumu apsaimniekošanu noteiktie dalītās savākšanas pienākumi.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Jaunas atbalsta shēmas nevar tikt izstrādātas vai esošās atbalsta shēmas nevar atjaunot elektroenerģijas ražošanai no meža biomasas iekārtās, kurās ražo tikai elektroenerģiju, izņemot, ja šāda elektroenerģijas ražošana neatbilst vismaz vienam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tā tiek ražota reģionā, kas ir iekļauts Latvijas vai citas Eiropas Savienības dalībvalsts teritoriālajā taisnīgas pārkārtošanās plānā, kurš sagatavots saskaņā ar Eiropas Parlamenta un Padomes 2021.gada 24.jūlija regulas (ES) 2021/1056, ar ko izveido Taisnīgas pārkārtošanās fondu 11. pantu, un saražotā elektroenerģija atbilst šā likuma 58.</w:t>
            </w:r>
            <w:r w:rsidR="00000000" w:rsidRPr="00000000" w:rsidDel="00000000">
              <w:rPr>
                <w:vertAlign w:val="superscript"/>
                <w:rtl w:val="0"/>
              </w:rPr>
              <w:t xml:space="preserve">9</w:t>
            </w:r>
            <w:r w:rsidR="00000000" w:rsidRPr="00000000" w:rsidDel="00000000">
              <w:rPr>
                <w:rtl w:val="0"/>
              </w:rPr>
              <w:t xml:space="preserve"> panta pirmās daļas 4.punktā minētajiem elektroenerģijai piemērojamiem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 tiek ražota iekārtās, kurās ir uzstādītas biomasas oglekļa emisiju uztveršanas iekārtas un tiek nodrošināta uztvertā oglekļa emisiju atkalizmantošana vai uzglabāšana vai noglabāšana un saražotā elektroenerģija atbilst šā likuma 58.</w:t>
            </w:r>
            <w:r w:rsidR="00000000" w:rsidRPr="00000000" w:rsidDel="00000000">
              <w:rPr>
                <w:vertAlign w:val="superscript"/>
                <w:rtl w:val="0"/>
              </w:rPr>
              <w:t xml:space="preserve">9</w:t>
            </w:r>
            <w:r w:rsidR="00000000" w:rsidRPr="00000000" w:rsidDel="00000000">
              <w:rPr>
                <w:rtl w:val="0"/>
              </w:rPr>
              <w:t xml:space="preserve"> panta pirmās daļas 4.punktā minētajiem elektroenerģijai piemērojamiem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papildināt likumprojekta 5. pantā ietverto Enerģētikas likuma 58.</w:t>
            </w:r>
            <w:r w:rsidR="00000000" w:rsidRPr="00000000" w:rsidDel="00000000">
              <w:rPr>
                <w:vertAlign w:val="superscript"/>
                <w:rtl w:val="0"/>
              </w:rPr>
              <w:t xml:space="preserve">11</w:t>
            </w:r>
            <w:r w:rsidR="00000000" w:rsidRPr="00000000" w:rsidDel="00000000">
              <w:rPr>
                <w:rtl w:val="0"/>
              </w:rPr>
              <w:t xml:space="preserve"> panta septīto daļu ar norādi "kas ir lielāka nekā enerģijas ražošanai" atbilstoši direktīvas Nr. 2023/2413 1. pantā ietvertā direktīvas Nr. 2018/2001 3. panta 3.a punktam vai skaidrot likumprojekta anotācijā, kādēļ tas nav nepieciešams.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Vienotais kontaktpunkts savā tīmekļvietnē publicē dzīvojamo māju vai dzīvokļu īpašniekiem vai īrniekiem, māju apsaimniekotājiem, no atjaunīgiem energoresursiem iegūtas enerģijas pašpatērētājiem un atjaunīgās enerģijas kopienām informāciju par izmaksu efektīviem pasākumiem un pieejamiem finansēšanas instrumentiem atjaunīgās enerģijas izmantošanas siltumapgādes un aukstumapgādes sistēmās paaugstināšanai.".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likumprojekta anotācijā, kā paredzēts izpildīt direktīvas Nr. 2023/2413 1. pantā izteiktā direktīvas Nr. 2018/2001 23. panta 2. punkta ceturtās daļas prasību, ka dalībvalstis informāciju sniedz ar pieejamiem un pārredzamiem konsultāciju rīkiem. Nepieciešamības gadījumā lūdzam atbilstoši papildināt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atjaunīgos energoresursus, no kuriem gāze iegūta, un tās ražošanas sākuma un beigu datumu, kurus var precizēt stundas vai biežākā intervālā;".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anotācijas 5.4. sadaļas 1. tabulā pamatot tā 7. panta atbilstību direktīvas Nr. 2023/2413 1. pantā izteiktajam direktīvas Nr. 2018/2001 19. panta 7. punkta "a" apakšpunkta "ii" apakšpunktam, nepieciešamības gadījumā precizējot likumprojektu. Norādām, ka minētā direktīvas vienība paredz, ka izcelsmes apliecinājumā obligāti precizē energoresursu, no kura enerģija iegūta, un ražošanas sākuma un beigu datumus, kurus var precizēt  atjaunojamajai elektroenerģijai saskaņā ar Regulas (ES) 2019/943 2. panta "15" punktā definēto “nebalansa norēķinu periodu”, kas atbilstoši minētajai regulai ir attiecīgi 15 minūtes un 30 minūtes (sākot ar 2025. gada 1. janvāri).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Lai kompensētu ar gāzes izcelsmes apliecinājuma izsniegšanu un elektroniskās sistēmas uzturēšanu saistītās mainīgās izmaksas, vienotais dabasgāzes pārvades un uzglabāšanas sistēmas operators par gāzes izcelsmes apliecinājuma izsniegšanu pieprasa maksu. Iekārtām, kuru jauda ir mazāka par 50 kilovatiem (kW) un atjaunīgās enerģijas kopienām tiek pieprasīta samazināta maksa salīdzinot ar pārējām iekārtām piemēroto maksu. Vienotais dabasgāzes pārvades un uzglabāšanas sistēmas operators izstrādā un publicē savā tīmekļvietnē maksas aprēķināšanas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tiesiskās noteiktības nolūkā likumprojekta 8. pantā skaidrot, kādā apmērā maksa uzskatāma par samazinātu maksu. Paužam bažas, ka pretējā gadījumā attiecīgā likumprojekta prasība varētu tikt izpildīta formāli. Kā arī lūdzam skaidrot, kā paredzēts pārņemt direktīvas Nr. 2023/2413 1.panta 9. punkta "a" apakšpunkta "ii" apakšpunktā izteiktā direktīvas Nr. 2018/2001 19. panta 2. punkta trešajā daļā ietverto prasību </w:t>
            </w:r>
            <w:r w:rsidR="00000000" w:rsidRPr="00000000" w:rsidDel="00000000">
              <w:rPr>
                <w:u w:val="single"/>
                <w:rtl w:val="0"/>
              </w:rPr>
              <w:t xml:space="preserve">ieviest vienkāršotus reģistrācijas procesus</w:t>
            </w:r>
            <w:r w:rsidR="00000000" w:rsidRPr="00000000" w:rsidDel="00000000">
              <w:rPr>
                <w:rtl w:val="0"/>
              </w:rPr>
              <w:t xml:space="preserve">, līdztekus samazinātai reģistrācijas maksai, nepieciešamības gadījumā papildinot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likumprojektu tiek veiktas izmaiņas attiecībā uz Ministru kabineta pilnvarojumu, lūdzam aizpildīt likumprojekta anotācijas 4. sadaļu. Tostarp lūdzam skaidrot likumprojekta 4. pantā paredzētā pilnvarojuma būtību un nepieciešamību. T.i., lūdzam visupirms izvērtēt, vai attiecīgs pilnvarojums vispār ir vajadzīgs un vai nepieciešamo regulējumu nevar ietvert pašā likuma tekstā. Savukārt, ja tiek nolemts izstrādāt jaunus Ministru kabineta noteikumus, lūdzam likumprojekta anotācijas 4. sadaļā skaidrot pamatojumu šādai izvēlei, kā arī aprakstīt jauno Ministru kabineta noteikumu saturisko ietvaru, tādējādi nodrošinot, ka vēlāk, izstrādājot Ministru kabineta noteikumu projektu, nepieciešamās lietas ir iespējams iekļaut projektā, jo to paredz deleģējuma saturiskais tvērums, kā arī deleģējumu vēlāk ir iespējams izpildīt, jo regulējamo jautājumu loks nav formulēts pārāk plaši.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papildināt likumprojekta anotācijas 5.4. sadaļas 1. tabulu ar informāciju par direktīvas Nr. 2023/2413 1. pantā izteiktā direktīvas Nr. 2018/2001 2. panta otrās daļas 14.b punkta, 3. panta 3. punkta pirmās daļas,  4.a punkta, 9. panta 7.a punkta, 15. panta 1., 2., 8. punkta, 15.a-15.e panta, 16. panta 4., 6.-9. punkta, 16.a-16.f panta, 19. panta 2.-4., 7., 8. punkta, 20. panta 3. punkta, 20.a panta, 22.a, 22.b panta, 23. panta 1., 1.a un 1.b punkta, 2. punkta ievaddaļa, 4. punkta, 24. panta (izņemot 1. un 2. punktu), 25.-28. panta u.c. vienību kuras attiecināmas uz Eiropas Savienības dalībvalstīm, bet nav skaidrotas 2024. gada 13. jūnija likuma "Grozījumi Enerģētikas likumā" anotācijā, pārņemšanu nacionālajā tiesību sistēmā (noteikumu projektā). Kā arī lūdzam papildināt aili (sniegt skaidrojumu) par direktīvas  Nr. 2023/2413 1. pantā izteiktā direktīvas Nr. 2018/2001 3. panta 3.a punktā u.c. (par ko informācija nav jau atspoguļota iepriekš minētā likuma anotācijā) ietvertās rīcības brīvības izmantošanu vai neizmantošanu likumprojektā, tostarp sniedzot apsvērumus rīcības brīvības izmantošanai vai neizmantošanai.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"Klimata un enerģētikas ministrija katru gadu līdz 31. martam paziņo Eiropas Komisijai (un publisko minēto paziņojumu) par to atjaunīgās elektroenerģijas vai atjaunīgās siltumapgādei vai aukstumapgādei izmantotās enerģijas kopējo apjomu, uz kuru attiecas šā panta septītajā daļā minētā atjaunīgās enerģijas apjoma pārdale.".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pieturzīmi iekavas, jo tās nav nepieciešamas. Kā arī lūdzam likumprojektā norādīt, kur tiek publicēts attiecīgais paziņojums (tīmekļvietnē vai, piemēram, oficiālajā izdevumā "Latvijas Vēstnesis").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likumprojekta 5. pantu, termina "uzņēmums" vietā izmantojot terminu "komersants" vai "saimnieciskās darbības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"117.</w:t>
            </w:r>
            <w:r w:rsidR="00000000" w:rsidRPr="00000000" w:rsidDel="00000000">
              <w:rPr>
                <w:vertAlign w:val="superscript"/>
                <w:rtl w:val="0"/>
              </w:rPr>
              <w:t xml:space="preserve">8</w:t>
            </w:r>
            <w:r w:rsidR="00000000" w:rsidRPr="00000000" w:rsidDel="00000000">
              <w:rPr>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Enerģijas izcelsmes apliecinājumu sistēmas ietvaros vienotais dabasgāzes pārvades un uzglabāšanas sistēmas operators aprēķina neapliecinātās enerģijas izcelsmes sastāvu, kas attiecas uz gāzes izcelsmes apliecinājumiem, atlikušās energoresursu struktūras - Latvijas kopējā gada energoresursu struktūra, izņemot daļu, kuru aptver atceltie vai dzēstie izcelsmes apliecinājumi, aprēķinos iekļaujot arī atceltos vai dzēstos izcelsmes apliecinājumus.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Vienotais dabasgāzes pārvades un uzglabāšanas sistēmas operators izstrādā neapliecinātās enerģijas izcelsmes sastāva aprēķināšanas metodiku un publicē to savā mājaslapā internetā.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Vienotais dabasgāzes pārvades un uzglabāšanas sistēmas operators katru gadu līdz 1. martam savā tīmekļvietnē publicē Latvijas atlikušo energoresursu struktūru, kas attiecas uz gāzes izcelsmes apliecinājumiem.".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likumprojektā nav konsekventi jānorāda uz informācijas publicēšanu tīmekļvietnē vai skaidrot likumprojekta anotācijā, kādēļ likumprojekta 9. pantā nepieciešams atsaukties uz publicēšanu mājaslapā internetā.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27.10.2024. 19.09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27.10.2024. 19.09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Atzinumi_24-TA-1475.docx</dc:title>
</cp:coreProperties>
</file>

<file path=docProps/custom.xml><?xml version="1.0" encoding="utf-8"?>
<Properties xmlns="http://schemas.openxmlformats.org/officeDocument/2006/custom-properties" xmlns:vt="http://schemas.openxmlformats.org/officeDocument/2006/docPropsVTypes"/>
</file>