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otrās kārtas mērķis ir saglabāt personas neatkarību un tās aprūpē iesaistīto ģimenes locekļu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3.punktā minēto mērķi ar informāciju no Atveseļošanas un noturības mehānisma plāna (turpmāk - AF plāns) un Eiropas Padomes īstenošanas lēmuma (turpmāk - CID), ka mērķis ir nodrošināt pāreju no institucionālas ilgtermiņa aprūpes sniegšanas uz kopienā balstītas aprūpes modeli un attīstīt ģimeniskai videi pietuvināta sociālā pakalpojuma pieejamību pašvaldībās pensijas vecuma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ir atklāta projektu iesniegumu atlase un uz tās izsludināšanas brīdi nosacījumiem jābūt pilnīgi skaidriem visām iesaistītajām pusēm. Ņemot vērā neskaidros jautājumus, lai izvairītos no situācijas, kad projektu iesniegumu atlasi nebūs iespējams izsludināt no Aģentūras neatkarīgo apstākļu dēļ 20 darba dienu laikā, aicinām no MK noteikumiem 18.punkta un anotācijas dzēst norādīto atlases izsludināšanas termiņu 20 darba dienu laikā pēc noteikumu stāšanās spēkā. Savukārt aģentūra apņemas nodrošināt projektu iesniegumu atlases izsludināšanu samērīgos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tostarp informācija par ēkām, to atrašanās vietu, platību kvadrātmetros (m2)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mērķa grupas personu izmitināšanai paredzēto vietu skaitu (tai skaitā, apstiprinājumu, ka šīs personas būs investīciju galasaņēmēji), aprīkojumu, pieejamajām investīcijām, kas ļaus nodrošināt pāreju no institucionālās aprūpes uz vietējās kopienas nodrošinātu aprūpi pensijas vecuma personām, un ka pabeigtie projekti 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minimālās vides pieejamības prasības vai precizēt 8.2.2. apakšpunktu, nosakot atbilstību būvnormatīvam, t.sk. mērķa grupas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attiecināmais Atveseļošanas fonda finansējums ir 64  828 990</w:t>
            </w:r>
            <w:r w:rsidR="00000000" w:rsidRPr="00000000" w:rsidDel="00000000">
              <w:rPr>
                <w:i w:val="1"/>
                <w:rtl w:val="0"/>
              </w:rPr>
              <w:t xml:space="preserve"> 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10.punktu norādot Atveseļošanas fonda finansējumu atbilstoši jau apstiprinātajiem MK 14.07.2022. noteikumu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8.punktā noteiktajam, ka investīcijas 2.kārtai pieejamais Atveseļošanas fonda finansējums ir 64 809 580 euro. Lūdzam atbilstoši precizēt anotācijas 3.sadaļā norādīto finansējuma sadalījumu pa gadiem un plānotajām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un nacionālais finansējums – pašvaldības finansējums pievienotās vērtības nodokļa izmaksu segšanai, kā arī pašvaldības un privātais finansējums investīcijas otrās kārtas projektu atbalstāmo darbību īstenošanai, ja to kopējās izmaksas pārsniedz investīcijas otrās kārtas projektiem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11.punktu (attiecībā uz izmaksām, kas pārsniedz Atveseļošanas fonda finansējumu un PVN izmaksas) un noteikumu projekta 35.3.apakšpunktu nosakot, ka uz AF projekta īstenošanu pēc būtības ir attiecināmas tādas projekta izmaksas, kas nepieciešamas konkrētā sasniedzamā rezultāta nodrošināšanai (par ko pārliecinās atbalsta sniedzējs vai vienošanās/ līgumslēdzējs par projekta īstenošanu) atbilstoši FM vadlīniju Nr.1 "Vadlīnijas informatīvā ziņojuma vai Ministru kabineta noteikumu izstrādei par Eiropas Savienības Atveseļošanas un noturības mehānisma plāna reformas vai investīcijas ieviešanu" 63.punktā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kā veidojusies 12.punktā minētā AF summa, tomēr ņemot vērā to, ka ir izstrādāts tipveida būvprojekts, lūdzam minēto summu pamatot vai noteikt ne tikai skatoties no pieejamā finansējuma viedokļa, bet arī izejot no kontroltāmes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20.punktu papildināt ar informāciju, ka projektu iesniegumu vērtēšanu sāk pēc projektu iesniegumu iesniegšanas termiņa beigām. Projekta iesniegums, kas iesniegts pēc projektu iesniegumu iesniegšanas termiņa beigām, netiek vērtēts. Aģentūra par to informē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 punktu paredzot, ka vērtēšanas komisijas locekļi paraksta apliecinājumu par interešu konflikta neesamību rakstiskā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iesniegumu vērtēšanas komisija projektu iesniegumu atlases termiņā saņemtos investīcijas otrās kārtas projektu iesniegumus vērtē atbilstoši investīcijas otrās kārtas projektu iesniegumu atlases nolikuma prasībām, tai skaitā vērtē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21.punktā norādīt, ka projektu iesniegumu vērtēšanas komisija projektu iesniegumus vērtē atbilstoši MK  noteikumu ​pielikumā iekļautajiem projektu iesniegumu vērtēšanas kritērijiem nevis atlases nolikuma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atbilstības izvērtēšanas saskaņā ar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noteiktajiem kritērijiem, investīcijas otrās kārtas projektu iesniegumus, kas saņēmuši minimāli nepieciešamo punktu skaitu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noteiktajā 3.3., 3.4., 3.5., 3.6., 3.8., 3.9. kvalitātes kritērija vērtējumā, sarindo dilstošā secībā atbilstoši iegūtajam punktu skaitam. Ja vairāki investīcijas otrās kārtas projekta iesniegumi iegūst vienādu punktu skaitu, priekšroka ir tam projekta iesniegumam, kurš ieguvis vairāk punktu par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22.punktu papildināt ar informāciju, skaidri norādot projektu iesniegumu  papildus sarindošanas kārtību, t.i., papildus rindošanā tiek ņemta vērā atsevišķu kvalitātes kritēriju (kvalitātes kritēriji Nr. 3.11., 3.10., 3.5., 3.6., 3.7.)  punktu kopsumma vai arī  tiek pielietota cita kārtība, piemēram, prioritāri ir atbalstāms projekta iesniegums, kas saņēmis lielāku punktu skaitu kvalitātes kritērijā Nr.  3.11., ja šajā kritērijā ir vienāds punktu skaits vairākiem projektu iesniegumiem, tad tiek ņemts vērā kvalitātes kritērijā   Nr. 3.10.  piešķirtais punktu skaits utt.. Lūdzam informāciju saskaņot arī MK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un ievērojot projekta iesniedzēja juridisko statusu, lēmumu par projekta iesnieguma apstiprināšanu, apstiprināšanu ar nosacījumu vai noraidīšanu pieņem triju mēnešu laikā no projektu iesniegumu iesniegšanas termiņa beigām, izdodot administratīvo aktu vai pieņemot pārvaldes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25.punktā pārskatīt un precizēt informāciju  par Aģentūras lēmumu pieņemšanas laiku (trīs mēneši), jo Aģentūra izdod administratīvo aktu (ievērojot Administratīvā procesa likumā noteiktos termiņus) vai pieņem pārvaldes lēmumu mēneša laikā no projektu iesniegumu iesniegšanas saņemšanas dienas par projekta iesnieguma apstiprināšanu, apstiprināšanu ar nosacījumu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viena mēneša laikā var apstrīdēt aģentūras pieņemto pārvaldes lēmumu vai administratīvo aktu Finanšu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29.punktu  papildināt ar  informāciju, ka var pārsūdzēt viena mēneša laikā no lēmuma/administratīvā akta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otrās kārtas projekta īstenošanai aģentūra 20 darbdienu laikā no brīža, kad stājies spēkā lēmums par projekta iesnieguma apstiprināšanu vai atzinums par lēmumā noteikto nosacījumu izpildi, slēdz līgumu ar finansējuma saņēmēju. Pirms līguma noslēgšanas finansējuma saņēmējs vai aģentūra var precizēt investīcijas otrās kārtas projekta iesniegumā norādīto informāciju, ja tā nav aktuāla, pēc būtības nemainot projekta iesniegumu.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Centrālā finanšu un līgumu aģentūra (turpmāk- CFLA) veiks darbības saskaņā ar CFLA iekšējo kārtību, lūgums noteikumu projekta tekstā neatrunāt konkrētus termiņus CFLA darbību veikšanai (noteikumu projekta 30., 38.1.2., 38.2.2., 38.3.2., 42.4.p.).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vides pieejamības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ieguldījumi tiks veikti atbilstoši jau izstrādātiem tipveida projektiem, t.sk. projektos iekļautajiem pielāgojumiem, kuriem jāatbilst būvniecības nozari regulējošajiem normatīvajiem aktiem, lūdzam izvērtēt šādas darbības iekļaušanas lietderību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projekta vadības izmaksas, kā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ietvaros projekta vadības personāla atlīdzības izmaksas, kas radušās uz darba līguma vai rīkojuma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projekta vadības izmaksas, kā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ietvaros projekta vadības personāla atlīdzības izmaksas, kas radušās uz darba līguma vai rīkojuma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OPERATIONAL ARRANGEMENTS noteiktos atskaites punktus un mērķus, jābūt iekļautām AF plāna izmaksās/aprēķinos, kas tika apstiprināti no EK puses. Lūdzam pārliecināties, vai investīcija tiek plānota atbilstoši EK sniegtajai informācijai, ka budžeta iestāžu esošo darbinieku tekošās atalgojuma izmaksas nav finansējamas no AF plāna finansējuma, jo AF plāna finansējums nav paredzēts iestādes ikdienas funkciju izmaksu segšanai. Ja AF plāna ietvaros tiek īstenots projekts/reforma, kura īstenošana nav tieši saistīta ar iestādes ikdienas procesiem un funkcijām, šīs funkcijas ir nodalāmas, kā arī darbiniekam AF plāna finansēta projekta/reformas ietvaros nāksies veikt pienākumus, kas nav viņa ikdienas pienākumu ietvaros, iestāde var vērtēt projekta/reformas vadības un īstenošanas personāla atalgojuma izmaksas segt no AF plāna līdzekļiem, vienlaikus nodrošinot paredzēto mērķu un atskaites punktu atbilstošu sasniegšanu noteiktajā apmērā. Nodarbinātības formu un veidu iestāde organizē atbilstoši iestādes ierastajai </w:t>
            </w:r>
            <w:r w:rsidR="00000000" w:rsidRPr="00000000" w:rsidDel="00000000">
              <w:rPr>
                <w:rtl w:val="0"/>
              </w:rPr>
              <w:t xml:space="preserve">kārtībai un Darba likumam. Kā arī atgādinām, ka specifiski attiecināmības jautājumi individuāli ir jāskaņo ar EK. Ņemot vērā sniegto skaidrojumu, kā arī dažādos reformu/investīciju ieviešanas modeļus un to dažādo specifiku, lūdzam ministrijai izvērtēt sniegto skaidrojumu un piemērot atbilstošāko no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ne vairāk kā trīs procentu apmērā no attiecināmā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pārņemot ES fondu praksi jāpārņem tā pilnībā ar atbilstošu redakciju un īstenošanu. Attiecīgi lūdzam precizēt noteikuma projekta 33. punkta redakciju norādot, ka piemērojot vienoto likmi trīs procentu apmērā no attiecināmajām izmaksām tiek ievērots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"a" apakšpunktā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kas nav saistītas ar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īstenošanu, bet finansējuma saņēmējs tās plāno kopā ar investīcijas otrās kārtas projekta izmaksām. Šādā gadījumā šīs izmaksas ir iekļaujamas investīcijas otrās kārtas projektā kā neattiecināmās izmaksas un tās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35.4.apakšpunktu, ņemot vērā, ka atbilstoši FM vadlīniju Nr.1 "Vadlīnijas informatīvā ziņojuma vai Ministru kabineta noteikumu izstrādei par Eiropas Savienības Atveseļošanas un noturības mehānisma plāna reformas vai investīcijas ieviešanu" 33.punktsm AF projektos netiek plānotas neattiecināmās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atsauci, ka nedrīkst tikt atbalstītas jau pabeigtas darbības atbilstoši Finanšu ministrijas izstrādāto vadlīniju Nr. 1 "Vadlīnijas informatīvā ziņojuma vai Ministru kabineta noteikumu izstrādei par Eiropas Savienības Atveseļošanas un noturības mehānisma plāna reformas vai investīcijas ieviešanu" 32.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attiecībā pret minimālo aprīkojumu, lai finansējuma saņēmējam būtu viennozīmīgi skadras prasības un projekts atbilstu Eiropas Padomes lēmuma par Atveseļošanas plāna pielikumā noteiktajai prasībai attiecībā uz 3.1.2.3.i investīcijas mērķrādītāju Nr.123: "</w:t>
            </w:r>
            <w:r w:rsidR="00000000" w:rsidRPr="00000000" w:rsidDel="00000000">
              <w:rPr>
                <w:rtl w:val="0"/>
              </w:rPr>
              <w:t xml:space="preserve">katra ēka ir aprīkota vismaz ar iepriekš noteiktu minimālo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maksājuma apmērs nevar pārsniegt 30 procentus no projektam pieejamā Atveseļošanas fonda finansējuma apmēra un tas ir jāizmanto sešu mēnešu laikā no tā saņemšanas dienas.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apakšpunktu, norādot, ka avanss ir jāizmanto sešu mēnešu laikā no tā saņemšanas dienas </w:t>
            </w:r>
            <w:r w:rsidR="00000000" w:rsidRPr="00000000" w:rsidDel="00000000">
              <w:rPr>
                <w:b w:val="1"/>
                <w:rtl w:val="0"/>
              </w:rPr>
              <w:t xml:space="preserve">saimnieciskā gada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maksājuma apmērs nevar pārsniegt 30 procentus no projektam pieejamā Atveseļošanas fonda finansējuma apmēra un tas ir jāizmanto sešu mēnešu laikā no tā saņemšanas dienas </w:t>
            </w:r>
            <w:r w:rsidR="00000000" w:rsidRPr="00000000" w:rsidDel="00000000">
              <w:rPr>
                <w:b w:val="1"/>
                <w:rtl w:val="0"/>
              </w:rPr>
              <w:t xml:space="preserve">saimnieciskā gada ietvaros</w:t>
            </w:r>
            <w:r w:rsidR="00000000" w:rsidRPr="00000000" w:rsidDel="00000000">
              <w:rPr>
                <w:rtl w:val="0"/>
              </w:rPr>
              <w:t xml:space="preserve">.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aģentūra, veicot avansa un starpposma maksājumus, nodrošina, ka finansējuma saņēmējam veikto avansa un starpposma maksājumu kopsumma nepārsniedz 90 procentus no projektam pieejamā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38.4.apakšpunktuar nosacījumu, ka nākamo avansu finansējuma saņēmējs var saņemt pēc tam, kad iepriekšējais ir izmantots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šo noteikumu </w:t>
            </w:r>
            <w:r w:rsidR="00000000" w:rsidRPr="00000000" w:rsidDel="00000000">
              <w:rPr>
                <w:rtl w:val="0"/>
              </w:rPr>
              <w:t xml:space="preserve">38.1.2.</w:t>
            </w:r>
            <w:r w:rsidR="00000000" w:rsidRPr="00000000" w:rsidDel="00000000">
              <w:rPr>
                <w:rtl w:val="0"/>
              </w:rPr>
              <w:t xml:space="preserve">,  </w:t>
            </w:r>
            <w:r w:rsidR="00000000" w:rsidRPr="00000000" w:rsidDel="00000000">
              <w:rPr>
                <w:rtl w:val="0"/>
              </w:rPr>
              <w:t xml:space="preserve">38.2.2.</w:t>
            </w:r>
            <w:r w:rsidR="00000000" w:rsidRPr="00000000" w:rsidDel="00000000">
              <w:rPr>
                <w:rtl w:val="0"/>
              </w:rPr>
              <w:t xml:space="preserve"> un </w:t>
            </w:r>
            <w:r w:rsidR="00000000" w:rsidRPr="00000000" w:rsidDel="00000000">
              <w:rPr>
                <w:rtl w:val="0"/>
              </w:rPr>
              <w:t xml:space="preserve">38.3.2. </w:t>
            </w:r>
            <w:r w:rsidR="00000000" w:rsidRPr="00000000" w:rsidDel="00000000">
              <w:rPr>
                <w:rtl w:val="0"/>
              </w:rPr>
              <w:t xml:space="preserve">apakšpunktā</w:t>
            </w:r>
            <w:r w:rsidR="00000000" w:rsidRPr="00000000" w:rsidDel="00000000">
              <w:rPr>
                <w:rtl w:val="0"/>
              </w:rPr>
              <w:t xml:space="preserve"> noteiktā maksājuma veikšanai finansējumu aģentūra atbilstoši normatīviem aktiem par kārtību, kādā veic gadskārtējā valsts budžeta likumā noteiktās apropriācijas izmaiņas, pēc šo noteikumu spēkā stāšanās pieprasa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finansējuma pārdali norādīt MK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šo noteikumu </w:t>
            </w:r>
            <w:r w:rsidR="00000000" w:rsidRPr="00000000" w:rsidDel="00000000">
              <w:rPr>
                <w:rtl w:val="0"/>
              </w:rPr>
              <w:t xml:space="preserve">38.1.2.</w:t>
            </w:r>
            <w:r w:rsidR="00000000" w:rsidRPr="00000000" w:rsidDel="00000000">
              <w:rPr>
                <w:rtl w:val="0"/>
              </w:rPr>
              <w:t xml:space="preserve">,  </w:t>
            </w:r>
            <w:r w:rsidR="00000000" w:rsidRPr="00000000" w:rsidDel="00000000">
              <w:rPr>
                <w:rtl w:val="0"/>
              </w:rPr>
              <w:t xml:space="preserve">38.2.2.</w:t>
            </w:r>
            <w:r w:rsidR="00000000" w:rsidRPr="00000000" w:rsidDel="00000000">
              <w:rPr>
                <w:rtl w:val="0"/>
              </w:rPr>
              <w:t xml:space="preserve"> un </w:t>
            </w:r>
            <w:r w:rsidR="00000000" w:rsidRPr="00000000" w:rsidDel="00000000">
              <w:rPr>
                <w:rtl w:val="0"/>
              </w:rPr>
              <w:t xml:space="preserve">38.3.2. </w:t>
            </w:r>
            <w:r w:rsidR="00000000" w:rsidRPr="00000000" w:rsidDel="00000000">
              <w:rPr>
                <w:rtl w:val="0"/>
              </w:rPr>
              <w:t xml:space="preserve">apakšpunktā</w:t>
            </w:r>
            <w:r w:rsidR="00000000" w:rsidRPr="00000000" w:rsidDel="00000000">
              <w:rPr>
                <w:rtl w:val="0"/>
              </w:rPr>
              <w:t xml:space="preserve"> noteiktā maksājuma veikšanai finansējumu aģentūra atbilstoši normatīviem aktiem par kārtību, kādā veic gadskārtējā valsts budžeta likumā noteiktās apropriācijas izmaiņas, pēc šo noteikumu spēkā stāšanās pieprasa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17.07.2018. noteikumiem Nr.421 ministrija var pieprasīt pārdalīt 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līdz ar to nepieciešams precizēt noteikumu projekta 38.6.apakšpunktu, attiecīgi precizējot anotācijas 3.sadaļas punktu “Cita informācija”.  Vienlaikus nepieciešams papildināt anotācijas 3.sadaļu, norādot, kuras ministrijas budžetā, tiks plānots noteikumu projekta īstenošanai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lietošanas tiesības, kas nav īsākas par pieciem gadiem no dienas, kad investīcijas otrās kārtas projekta ietvaros veikts noslēguma maksājums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39.punktu vai anotācijas projektu  papildināt ar informāciju par zemes lietošanas tiesībām (piemēram, ilgtermiņa nomā vai nodibinātas apbūves tiesības,  bezatlīdzības lietošanā, valdījumā).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lietošanas tiesības, kas nav īsākas par pieciem gadiem no dienas, kad investīcijas otrās kārtas projekta ietvaros veikts noslēguma maksājums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39.punktu ar nosacījumu, ka īpašumtiesībām (īpašumā, ilgtermiņa nomā, bezatlīdzības lietošanā, valdījumā) jābūt nostiprinātām Valsts vienotajā datorizētajā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šo noteikumu </w:t>
            </w:r>
            <w:r w:rsidR="00000000" w:rsidRPr="00000000" w:rsidDel="00000000">
              <w:rPr>
                <w:rtl w:val="0"/>
              </w:rPr>
              <w:t xml:space="preserve">31.1.</w:t>
            </w:r>
            <w:r w:rsidR="00000000" w:rsidRPr="00000000" w:rsidDel="00000000">
              <w:rPr>
                <w:rtl w:val="0"/>
              </w:rPr>
              <w:t xml:space="preserve"> , </w:t>
            </w:r>
            <w:r w:rsidR="00000000" w:rsidRPr="00000000" w:rsidDel="00000000">
              <w:rPr>
                <w:rtl w:val="0"/>
              </w:rPr>
              <w:t xml:space="preserve">31.2.</w:t>
            </w:r>
            <w:r w:rsidR="00000000" w:rsidRPr="00000000" w:rsidDel="00000000">
              <w:rPr>
                <w:rtl w:val="0"/>
              </w:rPr>
              <w:t xml:space="preserve"> ​​​​​​​.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atbalstāmās darbības īstenošanai izmanto investīcijas pirmās kārtas ietvaros izveidoto tipveida būvprojektu ģimeniskai videi pietuvinātā pakalpojuma izveidei un ievēro šo noteikumu </w:t>
            </w:r>
            <w:r w:rsidR="00000000" w:rsidRPr="00000000" w:rsidDel="00000000">
              <w:rPr>
                <w:rtl w:val="0"/>
              </w:rPr>
              <w:t xml:space="preserve">30.8. </w:t>
            </w:r>
            <w:r w:rsidR="00000000" w:rsidRPr="00000000" w:rsidDel="00000000">
              <w:rPr>
                <w:rtl w:val="0"/>
              </w:rPr>
              <w:t xml:space="preserve">apakšpunktā</w:t>
            </w:r>
            <w:r w:rsidR="00000000" w:rsidRPr="00000000" w:rsidDel="00000000">
              <w:rPr>
                <w:rtl w:val="0"/>
              </w:rPr>
              <w:t xml:space="preserve"> ​​​​​​​minētos ģimeniskai videi pietuvinātu pakalpojumu nodrošināšanas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noteikumu projekta tekstu ar Padomes īstenošanas lēmumā ap Atveseļošanas plāna apstiprināšanu (CID) noteiktos pamatprincipus, ka ēku būvniecībā nodrošina, ka katrā ēkā ir ne vairāk par 12 cilvēkiem un katra ēka tiek aprīkota ar ierīcēm, iekārtām un mēbelēm.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​​​​​​​minēto atbalstāmo darbību īstenošanai var piesaistīt vides pieejamības ekspertus šo noteikumu </w:t>
            </w:r>
            <w:r w:rsidR="00000000" w:rsidRPr="00000000" w:rsidDel="00000000">
              <w:rPr>
                <w:rtl w:val="0"/>
              </w:rPr>
              <w:t xml:space="preserve">31.5.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ieguldījumi tiks veikti atbilstoši jau izstrādātam tipveida būvprojektam, t.sk. projektos iekļautajiem pielāgojumiem, kuriem jāatbilst būvniecības nozares regulējošiem normatīviem, kā arī mērķa grupas vajadzībām, lūdzam izvērtēt šādas darbības iekļaušanas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īstenošanā 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un sievietēm un vīriešiem nodrošina vienādu samaksu par vienādas vērtības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skaidrs kā un kurš kontrolēs šajā punktā minēto nosacījumu izpildi, lūdzam izvērtēt iespēju pārskatīt vai dzēst minēto punktu, vai arī norādīt kā tiks veikta minēto aspektu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41.10. nodrošina ar projekta īstenošanu saistītās dokumentācijas uzglabāšanu visā projekta īstenošanas laikā un piecus gadus no šo noteikumu </w:t>
            </w:r>
            <w:r w:rsidR="00000000" w:rsidRPr="00000000" w:rsidDel="00000000">
              <w:rPr>
                <w:rtl w:val="0"/>
              </w:rPr>
              <w:t xml:space="preserve">38.3.2. </w:t>
            </w:r>
            <w:r w:rsidR="00000000" w:rsidRPr="00000000" w:rsidDel="00000000">
              <w:rPr>
                <w:rtl w:val="0"/>
              </w:rPr>
              <w:t xml:space="preserve">apakšpunktā</w:t>
            </w:r>
            <w:r w:rsidR="00000000" w:rsidRPr="00000000" w:rsidDel="00000000">
              <w:rPr>
                <w:rtl w:val="0"/>
              </w:rPr>
              <w:t xml:space="preserve"> minētā noslēguma maksājuma veikšanas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i w:val="1"/>
                <w:rtl w:val="0"/>
              </w:rPr>
              <w:t xml:space="preserve">Vadlīnijās informatīvā ziņojuma vai Ministru kabineta noteikumu izstrādei par Eiropas Savienības Atveseļošanas un noturības mehānisma plāna reformas vai investīcijas ieviešanu </w:t>
            </w:r>
            <w:r w:rsidR="00000000" w:rsidRPr="00000000" w:rsidDel="00000000">
              <w:rPr>
                <w:rtl w:val="0"/>
              </w:rPr>
              <w:t xml:space="preserve">ir noteikts, ka dokumentācijas glabāšana ir jānodrošina piecus gadus pēc pēdējā maksājuma dalībvalstij, jeb līdz 2031.gada beigām, lūgums precizēt noteikumu projekta 41.10.apakšpunktu.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nodrošina, ka projekta ietvaros izveidotās ēkas vismaz piecus gadus pēc noslēguma maksājuma veikšanas tiks izmantotas tikai pašvaldības funkciju īstenošanai, nodrošinot pakalpojumu sniegšanu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par to, kas veiks noteikumu projekta 41.13.apakšpunktā minētā nosacījuma uzraudzību. Vēršam uzmanību, ka Centrālā finanšu un līgumu aģentūra nav paredzējusi resursus projektu pēcuzraudzības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izskatot  plānotos grozījumus projektā, aģentūrai ir tiesības konsultēties ar ministriju par šajos noteikumos ietverto nosacījumu piemērošanu. Ministrija uz aģentūras konsultācijas pieprasījumu atbildi sniedz 10 darbdienu laikā, attiecīgi par šo termiņu tiek pagarināts šo noteikumu </w:t>
            </w:r>
            <w:r w:rsidR="00000000" w:rsidRPr="00000000" w:rsidDel="00000000">
              <w:rPr>
                <w:rtl w:val="0"/>
              </w:rPr>
              <w:t xml:space="preserve">42.2. </w:t>
            </w:r>
            <w:r w:rsidR="00000000" w:rsidRPr="00000000" w:rsidDel="00000000">
              <w:rPr>
                <w:rtl w:val="0"/>
              </w:rPr>
              <w:t xml:space="preserve">apakšpunktā</w:t>
            </w:r>
            <w:r w:rsidR="00000000" w:rsidRPr="00000000" w:rsidDel="00000000">
              <w:rPr>
                <w:rtl w:val="0"/>
              </w:rPr>
              <w:t xml:space="preserve"> noteiktais projektu grozījumu priekšlikuma izskatīšanas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42.6. apakšpunkta pēdējo teikuma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šo termiņu tiek pagarināts šo noteikumu 42.2. un 42.4. apakšpunktos noteiktais projektu grozījumu priekšlikuma izskatīšanas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nekavējoties informē ministriju, ja aģentūra investīcijas otrās kārtas projektu uzraudzības ietvaros ir konstatējusi vai saņēmusi informāciju no Iepirkumu uzraudzības biroja, Finanšu ministrijas kā Atveseļošanas fonda plāna revīzijas iestādes, Eiropas Komisijas, citām kontrolējošām iestādēm vai finansējuma saņēmēja par konstatētiem trūkumiem un pārkāpumiem saistībā ar Atveseļošanas fonda plāna īstenošanas prasību ievērošanu, un riskiem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mērķrādītāju sasniegšanai, sniedzot detalizētu aprakstu par radušos situāciju, atkāpju rašanās cēloņiem, finansiālo ietekmi, kā arī sniedzot aprakstu par turpmāko iespējamo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44.2.apakšpunktā noteiktie pienākumi jau detalizēti ir atrunāti LM un CFLA starpresoru vienošanās, lūdzam īpaši neizdalīt konkrētas rīcības MK noteikumos un precizēt redakciju uz analoģisku 3.1.2.1i. MK noteikumos noteiktajam. “informē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7. punktā minētā atskaites punkta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41.3. punktā ir noteikts, ka FS jāiinformē ministriju par problēmām projekta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7. punktā minēto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saņēmējs neievēro līguma nosacījumus, tai skaitā investīcijas otrās kārtas projekta īstenošana nenotiek atbilstoši projektā noteiktajiem termiņiem vai ir iestājušies citi apstākļi, kas negatīvi ietekmē vai var ietekmēt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7.2.apakšpunktu, jo 7.1.apakšpunktā izvirzītais mērķis būs sasniegts noslēdzot līgumu un atkāpšanās no līguma pirms līguma noslēgšanas nevar notikt.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vienoto un projektu  iesniedzējiem saprotamo projektu iesniegumu vērtēšanas procesu,  lūdzam MK noteikumu pielikumu  </w:t>
            </w:r>
            <w:r w:rsidR="00000000" w:rsidRPr="00000000" w:rsidDel="00000000">
              <w:rPr>
                <w:i w:val="1"/>
                <w:rtl w:val="0"/>
              </w:rPr>
              <w:t xml:space="preserve">"Projekta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r w:rsidR="00000000" w:rsidRPr="00000000" w:rsidDel="00000000">
              <w:rPr>
                <w:rtl w:val="0"/>
              </w:rPr>
              <w:t xml:space="preserve">  papildināt ar atsaucēm uz  kritēriju piemērošanas skaidrojumiem  visiem atbilstības un kvalitātes kritērijiem vai nodrošināt, ka  ministrija izstrādā un iesniedz aģentūrai kritēriju piemērošanas metodiku, pievienošanai atlases nolikumam.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MK noteikumu pielikumā sniegt skaidrojumu atbilstības kritērija Nr. 2.3. piemērošanai, t.i., kāda ir rīcība, ja tiks iesniegti 2 projektu iesniegumi.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atbilstības kritēriju Nr. 2.10. ,t.i., definēt skaidras pazīmes, kurām projekta iesniedzējam ir jāatbilst.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pielikumā papildināt kvalitātes kritērija Nr. 3.3. punktu skaitu (8 punkti) ar atsauci “S” , jo kritērijā summē tiem piemērojamo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kvalitātes apakškritēriju  Nr. 3.3.1. ar skaidrojumu atbilstības noteikšanai, t.i., norādot vai informācija pašvaldības iedzīvotāju apmierināto un neapmierināto pieprasījumu pēc apakškritērijā minētajiem sociālās aprūpes pakalpojumiem tiek sniegta brīvā formā, vai nepieciešamas  kādas  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kvalitātes apakškritēriju  Nr. 3.3.2. ar skaidrojumu atbilstības noteikšanai, t.i., norādot  kāda veida pamatojumi ir nepieciešami, lai tiktu piešķirti 2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kvalitātes apakškritēriju  Nr. 3.3.3. ar skaidrojumu atbilstības noteikšanai, t.i., norādot  kādā veidā var tikt pārbaudīts fakts, ka netiek sniegti šādi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kvalitātes kritēriju  Nr. 3.4.1. ar skaidrojumu atbilstības noteikšanai, t.i., norādot vai pietiek ar tikai ar informācijas notādīšanu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kvalitātes kritēriju Nr. 3.5.  ar informāciju par Rīgas valstspilsētas vērtēšanu saskaņā ar MK noteikumu projekta 14. punktā noteikto, t.i., ja projekta iesniedzējs ir Rīgas valstspilsēta, tās iestādes vai kapitālsabiedrības, kas veic pašvaldības deleģēto pārvaldes uzdevumu, investīcijas otrās kārtas projekta iesniegumā paredzamais maksimālais ēku skaits ir astoņas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ar informāciju, ka kritērijā tiek vērtēti tikai AF ieguldījumu ietvaros, jo kvalitātes kritērija Nr. 3.12. paredzēts, ka var par pašu finansējumu celt papildu ēkas citā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kvalitātes kritēriju Nr. 3.12.  ar informāciju par Rīgas valstspilsētas vērtēšanu saskaņā ar MK noteikumu projekta 14. punktā noteikto, t.i., projekta iesniedzējs investīcijas otrās kārtas projekta iesniegumā var paredzēt vairāk kā četras ēkas un Rīgas valstspilsēta vairāk kā astoņas ēkas, bet šo ēku izveides izmaksas sedz no finansējuma saņēmēja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izstrādāts tipveida būvprojekts, nepieciešams kritērijs, ka FS izmanto izstrādāto tipveida projektu, ņemot vērā šo kritēriju vērtēšana, piemēram, 3.4., 3.8.7. un 3.8.9. atsevišķa vērtēšana nebūtu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atbilstības kritērijus ar kritēriju, kur tiktu vērtēts, vai projekta iesniedzējs ir identificējis iespējamos riskus un plānoto rīcību risku novēršanai vai ietekmes mazināšanai, lai nodrošinātu projekta veiksmīgu īstenošanu un projektā plānoto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atbilstības kritērijus ar kritēriju, kur tiktu vērtēts, vai projekta iesniedzējs nodrošina, ka projekts izpilda nepieciešamās prasības principa "nenodarīt būtisku kaitējumu" ievērošanai un atbilst Eiropas Savienības un nacionālajiem normatīvajiem aktiem vides jomā (vai apliecina to ievērošanu), t.sk., ka ēkām jāatbilst gandrīz nulles enerģijas patēriņa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2.8.kritēriju ar nosacījumu, ka visām izmaksām jābūt saistītām ar investīcijas/projekta tiešo mērķu un mērķrādītāja sasniegšanu, ņemot vērā, ka noteikumu projektā tiek pieļauta iespēja, ka projekta apjoms varētu pārsniegt pieejamo Atveseļošanas fonda finansējumu. Šeit būtu jāiekļauj izmaksas, kas tieši nepieciešamas un bez kurām nav iespējams sasniegt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2.9.kritēriju ar nosacījumu, ka projekta mērķa vērtība ir precīzi noteikta, pamatota, izmērāma, un tā sekmē MK noteikumos par investīcijas īstenošanu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2.10.kritēriju ar 3.11.kritērija noteiktajām prasībām, ka nepieciešams vērtēt, vai projekta iesniedzējam ir pietiekami cilvēkresursi projekta administrēšanai un nepieciešamā finanšu kapacitāte projekta īstenošanai un rezultātu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kvalitātes kritērijus ar kritēriju, kur tiktu vērtēts, vai katra ēka tiks aprīkota vismaz ar iepriekš noteiktu minimālo aprīkojumu atbilstoši Eiropas Padomes lēmuma par Atveseļošanas plāna pielikumā noteiktajai prasībai attiecībā uz 3.1.2.3.i investīcijas mērķrādītāju Nr.123.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3.8.9.kvalitātes kritēriju ar nosacījumu, kur tiktu vērtēts, vai projektos ir paredzētas darbības, lai projekti pēc pabeigšanas atbilstu ēku piekļūstamības standartiem atbilstoši labākajai piekļūstamības praksei, t.sk. atbilstoši dažādiem invaliditātes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svītrot informāciju par pašvaldību aizņemšanās iespējām Valsts kasē projektu īstenošanai un papildināt ar sekojušu informāciju - Saskaņā ar Likumu par budžeta un finanšu vadību pašvaldībām un pašvaldību kapitālsabiedrībām ir tiesības saņemt aizņēmumus tikai  gadskārtējā valsts budžeta likumā noteiktajiem aizņēmuma/galvojuma mērķiem un nosacījumiem noteiktā pieļaujamā aizņēmuma/galvojuma  limita ietvaros. Jautājums par pašvaldību aizņemšanās limitu, nosacījumiem un pašvaldību galvojuma savas kapitālsabiedrības aizņēmumiem limitu un nosacījumiem 2023.gadam tiks izskatīts  likumprojekta "Par valsts budžetu 2023. gadam un budžeta ietvaru 2023., 2024. un 2025. gadam" izstrādēs laikā. Valsts pagaidu budžeta 2023.gadam laikā pašvaldībām ir tiesības saņemt aizņēmumus vienīgi no Eiropas Savienības un pārējās ārvalstu finanšu palīdzības līdzekļiem finansētiem projektiem ar aizņēmuma apmēru, kas nepārsniedz projekta attiecināmo izmaksu kopsummu, bet sniegt galvojumus pašvaldību kapitālsabiedrību aizņēmumiem no Eiropas Savienības un pārējās ārvalstu finanšu palīdzības līdzekļiem finansētiem projektiem un kurināmā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anotācijā norādīto 3.1.2.3.i. investīcijas otrās kārtas projektam plānoto attiecināmo Atveseļošanas fonda finansējumu, ņemot vērā, ka investīcijas 2.kārtai pieejamais Atveseļošanas fonda finansējums ir 64 809 580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aprēķinu plānotajam senioru ĢVPP ēku skaitam, jo iekavās iekļautais aprēķins matemātiski neveido 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tabulu “Projekta vadības personāla izmaksu aprēķins”, norādot amatu saimes atbilstoši MK 26.04.2022. noteikumu Nr.262 “Valsts un pašvaldību institūciju amatu katalogs, amatu klasifikācijas un amatu apraksta izstrādāšanas kārtība” 1.pielikumam.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6.2.apakšpunktā  “detalizēts izdevumu aprēķins” norādīto finansējuma apmēru ēku būvniecībai, jo tabulā (25.lpp.) tas norādīts 59 869 691 </w:t>
            </w:r>
            <w:r w:rsidR="00000000" w:rsidRPr="00000000" w:rsidDel="00000000">
              <w:rPr>
                <w:i w:val="1"/>
                <w:rtl w:val="0"/>
              </w:rPr>
              <w:t xml:space="preserve">euro</w:t>
            </w:r>
            <w:r w:rsidR="00000000" w:rsidRPr="00000000" w:rsidDel="00000000">
              <w:rPr>
                <w:rtl w:val="0"/>
              </w:rPr>
              <w:t xml:space="preserve">, savukārt tekstā (26.lpp.) 59 850 475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precizēt 3.1.2.3.i investīcijas finansējuma sadalījumu pa kārtām atbilstoši MK 14.07.2022. noteikumu Nr.442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(turpmāk - MK noteikumi Nr.442) 8.punktā minētajam. Vēršam uzmanību, ka sākotnēji nepieciešams veikt grozījumus MK noteikumos Nr.442, pēc tam atbrīvot atlikušo finansējumu no projekta, par kuru ir parakstīts līgums ar 3.1.2.3.i investīcijas pirmās kārtas finansējuma saņēmēju un tik pēc tam finansējums būs pieejams 3.1.2.3.i otrajai kārtai. Lūdzam precizēt informāciju arī citur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3.1.2.3.i investīcijas ietvaros īstenojamie projekts ir uzskatāmi par stratēģiski svarīgiem, par kuriem būtu veicami pastiprināti komunikācijas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anotācijā informāciju par </w:t>
            </w:r>
            <w:r w:rsidR="00000000" w:rsidRPr="00000000" w:rsidDel="00000000">
              <w:rPr>
                <w:b w:val="1"/>
                <w:rtl w:val="0"/>
              </w:rPr>
              <w:t xml:space="preserve">projekta vadību,</w:t>
            </w:r>
            <w:r w:rsidR="00000000" w:rsidRPr="00000000" w:rsidDel="00000000">
              <w:rPr>
                <w:rtl w:val="0"/>
              </w:rPr>
              <w:t xml:space="preserve"> ka tiek piemērota vienotā likme 3%, kā arī projekta vadības personālam plāno šo likmi piemērot, izslēdzot iespēju terminus ''var'' un ''līdz''. Kā arī nepieciešams papildināt ar izmaksu pozīcijām, no kurām rēķina 3% vienoto likmi. Lūdzam veikt atbilstošus precizējumus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visu anotācijas 1.3.sadaļas tabulā "Projekta vadības personāla izmaksu aprēķins" uzskaitīto amatu kategorijas nerada neatbilstību risku ar iestādes ikdienas izdevumu aizstāšanu, kas ir pretrunā AF Regulas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1.3.sadaļā minēto redakciju "Personāla vadības izmaksu aprēķins ir indikatīvs un pašvaldības kā finansējuma saņēmēji var variēt starp projekta izmaksu pozīcijām un noteikt to minēto izmaksu apmēru projektā mazāku par 3%..." Vēršam uzmanību, ka, ja tiek pārņemta ES fondu prakse ar vienkāršoto izmaksu izmantošanu, tad tā ir jāievēro arī īstenošanas fāzē.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attiecībā uz anotācijas 1.3.sadaļā esošo informāciju "no saviem līdzekļiem pašvaldības speciālistu darba pienākumu ietvaros", vai ir izvērtēts neatbilstību risks ar finanšu aizstāšanas normas pārkāpumu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protokollēmumā paredzēt, ka faktiski 3.1.2.3.i investīcijas otrās kārtas atlasei pieejamais finansējums ir 64 809 580 </w:t>
            </w:r>
            <w:r w:rsidR="00000000" w:rsidRPr="00000000" w:rsidDel="00000000">
              <w:rPr>
                <w:i w:val="1"/>
                <w:rtl w:val="0"/>
              </w:rPr>
              <w:t xml:space="preserve">euro</w:t>
            </w:r>
            <w:r w:rsidR="00000000" w:rsidRPr="00000000" w:rsidDel="00000000">
              <w:rPr>
                <w:rtl w:val="0"/>
              </w:rPr>
              <w:t xml:space="preserve">, bet pēc Ministru kabineta 14.07.2022. noteikumu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grozījumu stāšanās spēkā, tas būs 64  828 990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protokollēmumā pārdalāmo finansējumu” 80.00.00 programmas “Nesadalītais finansējums Eiropas Savienības politiku instrumentu un pārējās ārvalstu finanšu palīdzības līdzfinansēto projektu un pasākumu īstenošanai” atbilstoši noteikumu projekta 38.6. apakšpunktā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otrās kārtas ietvaros īsteno atklātu projekta iesnieguma atlasi, starp projektu iesniegumu iesniedzējiem organizējot vienlīdzīgu sacensību par projekta iesnieguma apstiprināšanu un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aizstāt vārdu "sacensību" ar vārdu "atlasi" , vai citu piemērotu vārdu MK noteikumu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 20 darba dienu laikā pēc šo noteikumu spēkā stāšanās izsludina investīcijas otrās kārtas projektu iesniegumu atlasi, publicējot informāciju par projektu iesniegumu atlases izsludināšanu, pagarināšanu, pārtraukšanu vai izbeigšanu oficiālajā izdevumā “Latvijas Vēstnesis” un tīmekļvietnē  www.cfla.gov.lv, ne vēlāk kā atlases izsludināšanas dienā minētajā tīmekļa vietnē ievietojot projektu iesniegumu atlases nolikumu.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"Latvijas Republikas" pirms vārda "oficiālajā".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sagatavo un iesniedz vienu investīcijas otrās kārtas projekta iesniegumu saskaņā ar projektu iesniegumu atlases nolikuma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vai anotācijas projektu papildināt ar informāciju par projektu iesniegumu iesniegšanas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otrās kārtas projekta iesnieguma apstiprināšanas un līguma noslēgšanas gadījumā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izmaksas ir attiecināmas no 2022. gada 1. decembra. Projekta iesnieguma iesniegšana vadības informācijas sistēmā negarantē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identificēta nobīde darbību īstenošanas laikā, lūdzam MK noteikumu 34.punktā pārskatīt un pēc nepieciešamības precizēt informāciju par to, ka MK noteikumu 32.punktā minētās izmaksas ir attiecināmas no 2022.gada 1.decemra.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iztrādāto vadlīniju Nr.1 "Vadlīnijas informatīvā ziņojuma vai Ministru kabineta noteikumu izstrādei par Eiropas Savienības Atveseļošanas un noturības mehānisma plāna reformas vai investīcijas ieviešanu" 82.punktā noteikto, ka MK noteikumos vai informatīvajā ziņojumā iekļauj informāciju, ka finansējuma saņēmējs nodrošina vizuālās identitātes prasības atbilstoši AF Regulā noteiktajam un “Eiropas Savienības fondu 2021.–2027.gada plānošanas perioda un atveseļošanas fonda komunikācijas un dizaina vadlīnijas” noteiktajam, lūdzam papildināt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šādu redakciju: “ (</w:t>
            </w:r>
            <w:r w:rsidR="00000000" w:rsidRPr="00000000" w:rsidDel="00000000">
              <w:rPr>
                <w:i w:val="1"/>
                <w:rtl w:val="0"/>
              </w:rPr>
              <w:t xml:space="preserve">…)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minēto avansa maksājumu, bet ne biežāk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"un iesniedz vadības informācijas sistēmā" aiz vārda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nekavējoties informē aģentūru un ministriju par problēmām (tai skaitā konstatētiem vai iespējamiem trūkumiem un pārkāpumiem) projekta īstenošanā, kuras saistītas ar normatīvajos aktos par Atveseļošanas fonda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mērķrādītāja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mērķrādītājs ir noteikts 7.2.apakšpunktā, lūdzam precizēt atsauci uz 7.2.apakšpunktu.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iepirkumu līgumos avansa maksājumus var paredzēt ne vairāk kā 20 procentu  apmērā no attiecīgā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situāciju un to ka atsevišķas piegādes varētu būt nepieciešams avansēt lielākā apmērā, lūdzam atkārtoti izvērtēt minētā ierobežojuma nepieciešamību un rast iespēju īpaši neierobežot avansa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Žukelis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nodrošina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noteiktās informācijas apkopošanu un iesniegšanu Atveseļošanas fonda plāna īstenošanas progresa pusgada ziņojuma un maksājuma pieprasījuma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44.1. apakšpunktā noteiktais pienākums jau ir atrunāts Labklājības ministrijas un Centrālās finanšu un līgumu aģentūras starpresoru vienošanās par sadarbību Eiropas Savienības Atveseļošanas un noturības mehānisma īstenošanā un uzraudzībā, ierosinām to nenorādīt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kvalitātes kritērijam Nr. 3.10. nav jāveido vēl viens apakškritērijs, paredzot  punktos, ja pašvaldības teritorijā nav apakškritērija Nr. 3.10.1. minētie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ir atjaunināta tīmekļa vietne, līdz ar to arī mainījusies datu bāzes adrese. Lai iespējamas adrešu maiņas gadījumi nākotnē nerada pārpratumus, aicinām MK noteikumu pielikumā kritērija Nr. 2.2. piemērošanas skaidrojumā, saglabāt tikai datu bāzes sadaļas nosaukumu vai norādīt jauno adresi - https://www.vid.gov.lv/lv/nodoklu-paradnieki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pielikumā pārskatīt un pēc iespējas apvienot saturiski līdzīgus atbilstības un kvalitātes kritērijus, nodrošinot pārskatāmu vērtēšanas procesu. Piemēram, apvienojot atbilstības kritēriju Nr. 2.4. “Projekta iesnieguma mērķis atbilst noteikumos noteiktajam mērķim.” un Nr. 2.5.” Projekta iesniegumā plānotās darbības atbilst noteikumos noteiktajām atbalstāmajām darbībām, projekta darbībām noteikti atbilstoši to ietvaros sasniedzami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pēc nepieciešamības precizēt  MK noteikumu projekta pielikumumā pie kvalitātes kritērijiem kolonnā "Maksimālais iegūstamais punktu skaits un punktu piešķiršanas kārtība" norādītās atsauces. Piemēram, kvalitātes kritērija Nr. 3.7.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projektu, skaidri norādot, ka projektu iesniegumos var paredzēt tikai jaunu ēku būvniecību pamatojoties uz jau izstrādāto tipveida būvprojektu (būs pieejams Būvniecības informācijas sistēmā), nevis  veidot savu būvprojektu vai pārbūvēt citas ēkas (t.sk. papildu ēkas bez Atveseļošanas fonda finansējuma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projektam visi atbilstības kritēji ir precizējami (P), tādējādi aicinām anotācijā pārskatīt un pēc nepieciešamības dzēst teikumā </w:t>
            </w:r>
            <w:r w:rsidR="00000000" w:rsidRPr="00000000" w:rsidDel="00000000">
              <w:rPr>
                <w:i w:val="1"/>
                <w:rtl w:val="0"/>
              </w:rPr>
              <w:t xml:space="preserve">"Noraidāmais atbilstības kritērijs tiek piemērots projekta iesniedzēja veidam, lai izslēgtu, ka projektu iesniedz subjekts, kas nav atbilstošs noteikumu projektā noteikmtām prasībām projektu iesniedzējie"</w:t>
            </w:r>
            <w:r w:rsidR="00000000" w:rsidRPr="00000000" w:rsidDel="00000000">
              <w:rPr>
                <w:rtl w:val="0"/>
              </w:rPr>
              <w:t xml:space="preserve">  informāciju par noraidāmajiem atbilstības kritējiem..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"Risinājuma apraksts" izmantot šādu redakciju: “ (..)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11.punktā noteikto, ka investīcijas otrās kārtas kopējo attiecināmo finansējumu veido šo noteikumu 10. punktā minētais Atveseļošanas fonda finansējums un nacionālais finansējums – pašvaldības finansējums pievienotās vērtības nodokļa izmaksu segšanai, kā arī anotācijas 1.3.punktā minēto, ka precīzu attiecināmo nacionālo finansējumu  (pašvaldību un privāto finansējumu) nav iespējams prognozēt, jo 3.1.2.3.i investīciju paredzēts īstenot atklātas projektu iesniegumu atlases veidā un nav iespējams prognozēt, kas tieši būs finansējuma saņēmēji, lūdzam anotācijas 3.sadaļas ailē “Cita informācija” norādīt kopējās plānotās PVN izmaksas, ņemot vērā attiecināmo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par principa "Nenodarīt būtiski kaitējumu" (turpmāk - NBK) ievērošanu ar informāciju, vai NBK piemērošanas nosacījumi paredz ievērot nacionālo normatīvo regulējumu, vai arī paredz papildus specifiskus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20.12.2022.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20.12.2022.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