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2.2. Tiesiskā regulējuma ietekme uz tautsaimniecību norādīt projekta </w:t>
            </w:r>
            <w:r w:rsidR="00000000" w:rsidRPr="00000000" w:rsidDel="00000000">
              <w:rPr>
                <w:b w:val="1"/>
                <w:rtl w:val="0"/>
              </w:rPr>
              <w:t xml:space="preserve">ietekmi uz uzņēmējdarbības vidi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sadaļā 2.2. norādīt </w:t>
            </w:r>
            <w:r w:rsidR="00000000" w:rsidRPr="00000000" w:rsidDel="00000000">
              <w:rPr>
                <w:b w:val="1"/>
                <w:rtl w:val="0"/>
              </w:rPr>
              <w:t xml:space="preserve">izmaksas tiesību aktos noteikto prasību izpildei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finansiālās izmaksas. Prasības par noteiktu naudas summu pārskaitīšanu valstij. Šīs prasības nav saistītas ar informācijas sniegšanu. Pie minētajām izmaksām pieskaitāmi nodokļu, nodevu un citi administratīvie maksājumi.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Tiesību aktu projektu publiskajā portālā pārliecinājās, ka noteikumu projektam 17.05.2024. izsludināts saskaņošanas process, kurš noslēgsies 31.05.2024. un 13.05.2024. uzsākta publiskā apspriešana, kas noslēgusies 27.05.2024. Vēršam uzmanību, ka noteikumu projekta vienlaicīga virzīšana līdzdalības iespējām un saskaņošanā nav atbalstāma prakse. Situācijā, kad vienā un tajā pašā termiņā norisinās publiskā apspriešana un saskaņošana ieinteresētajām pusēm no sabiedrības pārstāvju vidus var būt mulsinoši, kurā procesā iesaistīties ar priekšlikumiem par tiem aktuālajiem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Kušķe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31.05.2024.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