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iesniegumu vērtēšanas kritērija veidu, kura ietvaros projekta iesniedzējam ir jāsniedz informācija par šī horizontālā principa ievērošanu, paredzot vispārīgas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vadlīnijām horizontālā principa “Vienlīdzība, iekļaušana, nediskriminācija un pamattiesību ievērošana” īstenošanai un uzraudzībai (2021-2027), pasākumam nav ietekmes uz HP VINPI. Lai  nodrošinātu, ka projektu īstenošanā tiek veicināta vienlīdzība, iekļaušana, nediskriminācija un  ievērotas  pamattiesības, projekta projektu iesniegumu vērtēšanā tiks piemērots HP VINPI specifiskais atbilstības kritērijs. Kritērijā tiks vērtēts, vai projekta iesniegumā ir paredzēta vismaz viena specifiskā HP VINPI darbība, kas attiecas uz publicitāti, personālu vai publiskajiem iepirkumiem.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04.06.2024.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04.06.2024.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