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aprēķina skaidrojumu sadaļu papildināt ar atsauci uz pantu, kas nosaka pienākumu uzstādīt informatīvo tāfeli.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Enerģētikas un vides aģentūru administratīvo izmaksu monetārajā novērtējumā norādīts, ka ar likumprojektā veiktajām izmaiņām netiek radītas būtiskas izmaiņas (likumprojekta 17. pants paredz izmaiņas likuma "Par ietekmes uz vidi novērtējumu" 20.1 panta 6.1 daļā, ar ko tiek atcelts pienākums Enerģētikas un vides aģentūrai publicēt paziņojumu par pārrobežu projektu vietējā avīzē, kas tiek aizstāts ar paziņojuma nosūtīšanu attiecīgajai pašvaldībai, kurai paziņojums ir publicējams savā tīmekļvietnē), bet atspoguļojums apgalvojumam (izmaksu vērtējums) nav iekļauts.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administratīvo izmaksu vērtējums nav iekļauts, bet saskaņā ar Ministru kabineta 2021. gada 7. septembra noteikumu Nr. 617 “Tiesību akta projekta sākotnējās ietekmes izvērtēšanas kārtība” (turpmāk - noteikumi Nr. 617) 15. un 16. punktu tiesību akta projektam ir jāvērtē ietekme uz administratīvo slogu, </w:t>
            </w:r>
            <w:r w:rsidR="00000000" w:rsidRPr="00000000" w:rsidDel="00000000">
              <w:rPr>
                <w:u w:val="single"/>
                <w:rtl w:val="0"/>
              </w:rPr>
              <w:t xml:space="preserve">lūdzam veikt izmaksu monetāru novērtējumu Enerģētikas un vides aģentūras sloga izmaiņām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Tāpat lūdzam sniegt vērtējumu par sloga palielinājumu pašvaldībām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