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26-TA-193: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Kritēriji un kārtība, kādā valsts piedalās pedagogu darba samaksas finansēšanā vispārējās pamatizglītības un vispārējās vidējās izglītības pakāpē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14. grupa –  izglītības iestādei, kura dibināta vai kura īsteno svešvalodas, kultūras un vēstures apguvi vispārējās izglītības programmas ietvaros, ievērojot Latvijas Republikas divpusējos un daudzpusējos starptautiskos līgumus izglītības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vai šajā punktā minētie LR divpusējie un daudzpusējie starptautiskie līgumi iekļauj arī Latvijas Republikas un Svētā krēsla līgumu (https://likumi.lv/ta/id/66743-latvijas-republikas-un-sveta-kresla-ligums).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Izglītības iestādes atbilstību kvantitatīvajiem rādītājiem un pieļaujamai svārstībai nosaka saskaņā ar informācijas sistēmā ievadīto un apstiprināto informāciju par izglītojamo skaitu izglītības iestādē (pa klasēm un izglītības programmām) katrā tās izglītības programmas īstenošanas vietā attiecīgā gada 1. septembrī.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datumus ar noteikumiem par sadales kārtību, nosakot, ka izglītības iestādes atbilstību kvantitatīvajiem rādītājiem IZM nosaka uz 30.jūniju, un precizē uz 1.septembri.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3.7. apakšpunktu piemēro ar 2029. gada 1. septembri. Pašvaldība līdz 2029. gada 31. maijam izlemj jautājumu par tās administratīvajā teritorijā atrodošās valsts augstskolas vai privātās izglītības iestādes, kura īsteno vispārējās vidējās izglītības programmas klātienes formā, iekļaušanu pašvaldības izglītības ekosistēmas attīstības stratēģijā.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vienlīdzīgu attieksmi visām izglītības iestādēm un noteikt 3.7.apakšpunkta piemērošanu ar 2026.gada 1.septembri.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Kvantitatīvie rādītāji izglītības iestādes klašu grupām un pieļaujamā izglītojamo skaita svārstība no noteiktā kvantitatīvā rādītāja klašu grupā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3.grupā 10.-12.kl. posmā noteikt izglītojamo skaitu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13.grupai piemērot izglītojamo skaita noteikumus, atbilstoši pašvaldību administratīvi teritoriālo vienību iedalījumam, neatkarīgi no dibinātāja.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10.02.2026. 22.32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10.02.2026. 22.32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Atzinumi_26-TA-193.docx</dc:title>
</cp:coreProperties>
</file>

<file path=docProps/custom.xml><?xml version="1.0" encoding="utf-8"?>
<Properties xmlns="http://schemas.openxmlformats.org/officeDocument/2006/custom-properties" xmlns:vt="http://schemas.openxmlformats.org/officeDocument/2006/docPropsVTypes"/>
</file>