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2027. gada 10. jūliju stāsies spēkā ES tiesību akti noziedzīgi iegūtu līdzekļu legalizācijas novēršanas jomā (Eiropas Parlamenta un Padomes 2024. gada 31. maija Regula (ES) 2024/1624 par to, lai nepieļautu finanšu sistēmas izmantošanu nelikumīgi iegūtu līdzekļu legalizēšanai un teroristu finansēšanai (turpmāk – Regula Nr. 2024/1624) un 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 kas būs saistoši visās ES dalībvalstīs. Iestāde nelikumīgi iegūtu līdzekļu legalizēšanas un terorisma finansēšanas novēršanai (AMLA), kuras pienākumos iekļaujas arī regulatīvo tehnisko standartu izstrāde saskaņā ar minētajiem ES tiesību aktiem, saskaņā ar Regulas Nr. 2024/1624 28. pantu izstrādā regulatīvos tehniskos standartus par klienta izpētes veikšanai nepieciešamo informāciju, kas ietver arī noteikumus par klientu identitātes pārbaudes veikšanu, tostarp attālināto klienta identifikāciju un atbilstošu elektroniskās identifikācijas līdzekļu izmantošanu. Minētie regulatīvie tehniskie standarti (pēc to apstiprināšanas Eiropas Komisijā regulatīvie tehniskie standarti tiek apstiprināti kā deleģēšanas regula) kļūs tieši piemērojami tirgus dalībniekiem no 2027. gada 10. jūlija. Tas nozīmē, ka visās ES dalībvalstīs būs harmonizēta pieeja attālinātās klientu identifikācijas noteikumiem. Ņemot vērā minēto, aicinām pārformulēt Ministru kabineta sēdes protokollēmuma projekta 6. punktā noteikto deleģējumu Finanšu ministrijai un finanšu sektora uzraudzības institūcijām atbilstoši minētajai harmonizētajai pieejai.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2027. gada 10. jūliju stāsies spēkā ES tiesību akti noziedzīgi iegūtu līdzekļu legalizācijas novēršanas jomā (Eiropas Parlamenta un Padomes 2024. gada 31. maija Regula (ES) 2024/1624 par to, lai nepieļautu finanšu sistēmas izmantošanu nelikumīgi iegūtu līdzekļu legalizēšanai un teroristu finansēšanai (turpmāk – Regula Nr. 2024/1624) un 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 kas būs saistoši visās ES dalībvalstīs. Iestāde nelikumīgi iegūtu līdzekļu legalizēšanas un terorisma finansēšanas novēršanai (AMLA), kuras pienākumos iekļaujas arī regulatīvo tehnisko standartu izstrāde saskaņā ar minētajiem ES tiesību aktiem, saskaņā ar Regulas Nr. 2024/1624 28. pantu izstrādā regulatīvos tehniskos standartus par klienta izpētes veikšanai nepieciešamo informāciju, kas ietver arī noteikumus par klientu identitātes pārbaudes veikšanu, tostarp attālināto klienta identifikāciju un atbilstošu elektroniskās identifikācijas līdzekļu izmantošanu. Minētie regulatīvie tehniskie standarti (pēc to apstiprināšanas Eiropas Komisijā regulatīvie tehniskie standarti tiek apstiprināti kā deleģēšanas regula) kļūs tieši piemērojami tirgus dalībniekiem no 2027. gada 10. jūlija. Tas nozīmē, ka visās ES dalībvalstīs būs harmonizēta pieeja attālinātās klientu identifikācijas noteikumiem. Ņemot vērā minēto, aicinām pārformulēt Ministru kabineta sēdes protokollēmuma projekta 6. punktā noteikto deleģējumu Finanšu ministrijai un finanšu sektora uzraudzības institūcijām atbilstoši minētajai harmonizētajai pieejai.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Saukuma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ārzemnieka eID kartes attīstību kā attālinātas uzņēmējdarbības un investīciju piesaistes instrumentu"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MK sēdes protokollēmuma projekta 5., 7. un 8. punktā institūcijām dotie uzdevumi nebūtu paredzami pēc tam, kad atbilstoši 4.punktam Iekšlietu ministrija izvērtēs nepieciešamos resursus analoga digitālās identitātes (Igaunijas e-rezidences programmas) ieviešanai Latvijā, kā arī identificēs finansēšanas avotus, lai ieviestu ārzemnieka eID karti.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ārzemnieka eID kartes attīstību kā attālinātas uzņēmējdarbības un investīciju piesaistes instrumentu"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jaunu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Institūcijām informatīvajā ziņojumā paredzētos uzdevumus nodrošināt esošo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Ekonomikas ministrijai sadarbībā ar Finanšu ministriju un finanšu sektora uzraudzības institūcijām veicināt attālinātu uzņēmumu norēķinu kontu atvēršanu ārvalstniekiem.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2027. gada 10. jūliju stāsies spēkā ES tiesību akti noziedzīgi iegūtu līdzekļu legalizācijas novēršanas jomā (Eiropas Parlamenta un Padomes 2024. gada 31. maija Regula (ES) 2024/1624 par to, lai nepieļautu finanšu sistēmas izmantošanu nelikumīgi iegūtu līdzekļu legalizēšanai un teroristu finansēšanai (turpmāk – Regula Nr. 2024/1624) un 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 kas būs saistoši visās ES dalībvalstīs. Iestāde nelikumīgi iegūtu līdzekļu legalizēšanas un terorisma finansēšanas novēršanai (AMLA), kuras pienākumos iekļaujas arī regulatīvo tehnisko standartu izstrāde saskaņā ar minētajiem ES tiesību aktiem, saskaņā ar Regulas Nr. 2024/1624 28. pantu izstrādā regulatīvos tehniskos standartus par klienta izpētes veikšanai nepieciešamo informāciju, kas ietver arī noteikumus par klientu identitātes pārbaudes veikšanu, tostarp attālināto klienta identifikāciju un atbilstošu elektroniskās identifikācijas līdzekļu izmantošanu. Minētie regulatīvie tehniskie standarti (pēc to apstiprināšanas Eiropas Komisijā regulatīvie tehniskie standarti tiek apstiprināti kā deleģēšanas regula) kļūs tieši piemērojami tirgus dalībniekiem no 2027. gada 10. jūlija. Tas nozīmē, ka visās ES dalībvalstīs būs harmonizēta pieeja attālinātās klientu identifikācijas noteikumiem. Ņemot vērā minēto, aicinām pārformulēt Ministru kabineta sēdes protokollēmuma projekta 6. punktā noteikto deleģējumu Finanšu ministrijai un finanšu sektora uzraudzības institūcijām atbilstoši minētajai harmonizētajai pieejai.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2027. gada 10. jūliju stāsies spēkā ES tiesību akti noziedzīgi iegūtu līdzekļu legalizācijas novēršanas jomā (Eiropas Parlamenta un Padomes 2024. gada 31. maija Regula (ES) 2024/1624 par to, lai nepieļautu finanšu sistēmas izmantošanu nelikumīgi iegūtu līdzekļu legalizēšanai un teroristu finansēšanai (turpmāk – Regula Nr. 2024/1624) un 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 kas būs saistoši visās ES dalībvalstīs. Iestāde nelikumīgi iegūtu līdzekļu legalizēšanas un terorisma finansēšanas novēršanai (AMLA), kuras pienākumos iekļaujas arī regulatīvo tehnisko standartu izstrāde saskaņā ar minētajiem ES tiesību aktiem, saskaņā ar Regulas Nr. 2024/1624 28. pantu izstrādā regulatīvos tehniskos standartus par klienta izpētes veikšanai nepieciešamo informāciju, kas ietver arī noteikumus par klientu identitātes pārbaudes veikšanu, tostarp attālināto klienta identifikāciju un atbilstošu elektroniskās identifikācijas līdzekļu izmantošanu. Minētie regulatīvie tehniskie standarti (pēc to apstiprināšanas Eiropas Komisijā regulatīvie tehniskie standarti tiek apstiprināti kā deleģēšanas regula) kļūs tieši piemērojami tirgus dalībniekiem no 2027. gada 10. jūlija. Tas nozīmē, ka visās ES dalībvalstīs būs harmonizēta pieeja attālinātās klientu identifikācijas noteikumiem. Ņemot vērā minēto, aicinām pārformulēt Ministru kabineta sēdes protokollēmuma projekta 6. punktā noteikto deleģējumu Finanšu ministrijai un finanšu sektora uzraudzības institūcijām atbilstoši minētajai harmonizētajai pieejai.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Saukuma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skaidrots, ka "</w:t>
            </w:r>
            <w:r w:rsidR="00000000" w:rsidRPr="00000000" w:rsidDel="00000000">
              <w:rPr>
                <w:i w:val="1"/>
                <w:u w:val="single"/>
                <w:rtl w:val="0"/>
              </w:rPr>
              <w:t xml:space="preserve">l</w:t>
            </w:r>
            <w:r w:rsidR="00000000" w:rsidRPr="00000000" w:rsidDel="00000000">
              <w:rPr>
                <w:i w:val="1"/>
                <w:u w:val="single"/>
                <w:rtl w:val="0"/>
              </w:rPr>
              <w:t xml:space="preserve">īdztekus valsts nodevu politikai</w:t>
            </w:r>
            <w:r w:rsidR="00000000" w:rsidRPr="00000000" w:rsidDel="00000000">
              <w:rPr>
                <w:i w:val="1"/>
                <w:rtl w:val="0"/>
              </w:rPr>
              <w:t xml:space="preserve"> nozīmīga ir arī privāto pakalpojumu pieejamība – grāmatvedības, finanšu pakalpojumi un konsultācijas"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skaidrojums ir iekļauts informatīvā ziņojumā sadaļas "Turpmākie soļi" 3.punktā "Ekonomikas ministrijai un Latvijas Investīciju un attīstības aģentūrai sadarbībā ar nozares iestādēm ieviest "vienas pieturas" risinājumu un nodrošināt ārzemnieka eID piedāvājuma iekļaušanu investīciju piesaistes un eksporta veicināšanas aktivitātēs", tad īsti nav saprotams, kāds ir mērķis un nepieciešamība ziņojuma skaidrojumā iekļautai norādei "</w:t>
            </w:r>
            <w:r w:rsidR="00000000" w:rsidRPr="00000000" w:rsidDel="00000000">
              <w:rPr>
                <w:i w:val="1"/>
                <w:u w:val="single"/>
                <w:rtl w:val="0"/>
              </w:rPr>
              <w:t xml:space="preserve">līdztekus valsts nodevu politikai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nodevu politika aptver gan nodevu vispārējās noteikšanas un administrēšanas jomas politiku, gan visas konkrētās valsts nodevas politikas jomas. Ievērojot minēto, aicinām pārskatīt informatīvajā ziņojumā sniegtajā skaidrojumā ietvertās norādes “</w:t>
            </w:r>
            <w:r w:rsidR="00000000" w:rsidRPr="00000000" w:rsidDel="00000000">
              <w:rPr>
                <w:i w:val="1"/>
                <w:u w:val="single"/>
                <w:rtl w:val="0"/>
              </w:rPr>
              <w:t xml:space="preserve">līdztekus valsts nodevu politikai</w:t>
            </w:r>
            <w:r w:rsidR="00000000" w:rsidRPr="00000000" w:rsidDel="00000000">
              <w:rPr>
                <w:rtl w:val="0"/>
              </w:rPr>
              <w:t xml:space="preserve">”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skaidrojums ir nepieciešams, tad lūdzam to sašaurināt (tas, ir, to neattiecinot uz visu valsts nodevu politiku).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