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Lai mazinātu pašvaldībām aprēķinātās mērķdotācijas atšķirības, laikposmam no 2022. gada 1.septembra līdz 2026. gada 31.augustam, šo noteikumu </w:t>
            </w:r>
            <w:r w:rsidR="00000000" w:rsidRPr="00000000" w:rsidDel="00000000">
              <w:rPr>
                <w:rtl w:val="0"/>
              </w:rPr>
              <w:t xml:space="preserve">6.</w:t>
            </w:r>
            <w:r w:rsidR="00000000" w:rsidRPr="00000000" w:rsidDel="00000000">
              <w:rPr>
                <w:rtl w:val="0"/>
              </w:rPr>
              <w:t xml:space="preserve"> punktā norādītais reģionālais koeficients tiek koriģēts un mērķdotācijas aprēķinā ministrija piemēro izlīdzināšanas koeficientu. Informāciju par aprēķināto izlīdzināšanas koeficientu katrai pašvaldībai ministrija publisko savā tīmekļvietnē un to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 – pārejas perioda izlīdzināšanas koeficients;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2022./2023. mācību gada mērķdotācijas apmērs, kas iegūts, piemērojot šo noteikumu 23.1. un </w:t>
            </w:r>
            <w:r w:rsidR="00000000" w:rsidRPr="00000000" w:rsidDel="00000000">
              <w:rPr>
                <w:rtl w:val="0"/>
              </w:rPr>
              <w:t xml:space="preserve">23.2.</w:t>
            </w:r>
            <w:r w:rsidR="00000000" w:rsidRPr="00000000" w:rsidDel="00000000">
              <w:rPr>
                <w:rtl w:val="0"/>
              </w:rPr>
              <w:t xml:space="preserve">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 2022./2023. mācību gada mērķdotācijas apmērs, kas iegūts atbilstoši šo noteikumu regulējumam, nepiemērojot šo noteikumu </w:t>
            </w:r>
            <w:r w:rsidR="00000000" w:rsidRPr="00000000" w:rsidDel="00000000">
              <w:rPr>
                <w:rtl w:val="0"/>
              </w:rPr>
              <w:t xml:space="preserve">6.</w:t>
            </w:r>
            <w:r w:rsidR="00000000" w:rsidRPr="00000000" w:rsidDel="00000000">
              <w:rPr>
                <w:rtl w:val="0"/>
              </w:rPr>
              <w:t xml:space="preserve"> punktā norādīto reģionālo koeficientu.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pašvaldībām aprēķinātās mērķdotācijas apjoms no 2022.gada 1.septembra jau ir aprēķināts un apstiprināts, lūdzam precizēt 24.punktā norādīto laika posmu, kurā, lai mazinātu pašvaldībām aprēķinātās mērķdotācijas atšķirības, tiek koriģēts reģionālais koeficients.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22-TA-3431</w:t>
    </w:r>
    <w:r>
      <w:br/>
    </w:r>
    <w:r w:rsidR="00000000" w:rsidRPr="00000000" w:rsidDel="00000000">
      <w:rPr>
        <w:rtl w:val="0"/>
      </w:rPr>
      <w:t xml:space="preserve">Izdrukāts 02.12.2022.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22-TA-3431</w:t>
    </w:r>
    <w:r>
      <w:br/>
    </w:r>
    <w:r w:rsidR="00000000" w:rsidRPr="00000000" w:rsidDel="00000000">
      <w:rPr>
        <w:rtl w:val="0"/>
      </w:rPr>
      <w:t xml:space="preserve">Izdrukāts 02.12.2022.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Atzinumi_22-TA-3431.docx</dc:title>
</cp:coreProperties>
</file>

<file path=docProps/custom.xml><?xml version="1.0" encoding="utf-8"?>
<Properties xmlns="http://schemas.openxmlformats.org/officeDocument/2006/custom-properties" xmlns:vt="http://schemas.openxmlformats.org/officeDocument/2006/docPropsVTypes"/>
</file>