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uztur iepriekš 15.07.2026.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noteikšana kalendārajam gadam rada risku, ka noteiktais finanšu slieksnis var tikt apiets, sadalot savstarpēji saistītus iepirkumus divos kalendārajos gados (piemēram, gada nogalē un nākamā gada sākumā), lai gan pēc būtības tie veido vienotu nepieciešamību. Lai nodrošinātu lielāku atklātību un grozījumu mērķa efektīvu sasniegšanu, ir nepieciešams noteikt, ka 140 000 </w:t>
            </w:r>
            <w:r w:rsidR="00000000" w:rsidRPr="00000000" w:rsidDel="00000000">
              <w:rPr>
                <w:i w:val="1"/>
                <w:rtl w:val="0"/>
              </w:rPr>
              <w:t xml:space="preserve">euro</w:t>
            </w:r>
            <w:r w:rsidR="00000000" w:rsidRPr="00000000" w:rsidDel="00000000">
              <w:rPr>
                <w:rtl w:val="0"/>
              </w:rPr>
              <w:t xml:space="preserve"> slieksnis vienam vai kopā vairākiem darījumiem tiek noteikts 12 mēnešu periodā, nevis kalendārā gada ietvaros. Papildus vēršam uzmanību, ka budžeta plānošana pati par sevi nav pietiekams iemesls sasaistīt iepirkuma ierobežojumu ar kalendāro gadu, ja regulējuma mērķis ir kontrolēt faktisko IKT iegāžu kopējo apjomu. Turklāt attiecīga apjoma IKT iepirkumus pasūtītājam ir iespējams savlaicīgi plānot. Iepirkumu uzraudzības birojs 2026. gada 18. augustā joprojām skaidro IKT iepirkumu ierobežojumu piemērošanu un īpaši uzsver, ka iepirkumi  nav sadalāmi, lai izvairītos no 140 000 </w:t>
            </w:r>
            <w:r w:rsidR="00000000" w:rsidRPr="00000000" w:rsidDel="00000000">
              <w:rPr>
                <w:i w:val="1"/>
                <w:rtl w:val="0"/>
              </w:rPr>
              <w:t xml:space="preserve">euro </w:t>
            </w:r>
            <w:r w:rsidR="00000000" w:rsidRPr="00000000" w:rsidDel="00000000">
              <w:rPr>
                <w:rtl w:val="0"/>
              </w:rPr>
              <w:t xml:space="preserve">ierobežojuma.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Ilvija Ābele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24.08.2026.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24.08.2026.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