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Noguldījumu garantiju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1.3.punktu (4.rindkopā pie "problēmas apraksta") pēc teikuma: </w:t>
            </w:r>
            <w:r w:rsidR="00000000" w:rsidRPr="00000000" w:rsidDel="00000000">
              <w:rPr>
                <w:i w:val="1"/>
                <w:rtl w:val="0"/>
              </w:rPr>
              <w:t xml:space="preserve">"Tiesiskais regulējums par kopīgo noguldījumu ir pastāvējis jau līdz šim un ietverts Likuma 1. panta pirmās daļas 4. un 7. punktā, 5. panta pirmajā daļā un izriet no Eiropas Parlamenta un Padomes 2014. gada 16. aprīļa direktīvas  2014/49/ES par noguldījumu garantiju sistēmām  (turpmāk – Direktīva 2014/49/ES) 2. panta 1. punkta 7. apakšpunkta, 7. panta 2. punkta, kā arī šīs direktīvas I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piedāvātie precizējumi ir nepieciešami un atbilstoši, jo kā atzinusi arī Eiropas Banku iestāde (</w:t>
            </w:r>
            <w:r w:rsidR="00000000" w:rsidRPr="00000000" w:rsidDel="00000000">
              <w:rPr>
                <w:i w:val="1"/>
                <w:rtl w:val="0"/>
              </w:rPr>
              <w:t xml:space="preserve">European Banking Authority)</w:t>
            </w:r>
            <w:r w:rsidR="00000000" w:rsidRPr="00000000" w:rsidDel="00000000">
              <w:rPr>
                <w:rtl w:val="0"/>
              </w:rPr>
              <w:t xml:space="preserve"> Direktīvā 2014/49/ES ietvertais regulējums (it īpaši 5.un 7.panta savstarpēja sasaiste) ir ārkārtīgi neskaidrs un nesniedz piemērotajiem visas nepieciešamās norādes par tā saucamās "see-through" pieejas piemērošanas nosacījumiem. Attiecīgi, līdz atbilstošu Eiropas Savienības līmeņa tiesiskā regulējuma precizējumu izstrādei, lai nodrošinātu tiesiski korektu un atbilstošu rīcību, nepieciešams nacionālajā regulējumā īstenot precizējumus, ievērojot arī Eiropas Banku iestādes sniegtos skaidrojumus </w:t>
            </w:r>
            <w:r w:rsidR="00000000" w:rsidRPr="00000000" w:rsidDel="00000000">
              <w:rPr>
                <w:i w:val="1"/>
                <w:rtl w:val="0"/>
              </w:rPr>
              <w:t xml:space="preserve">(skat.piemēram, EBA 08.08.2019. Opinion of the European Banking Authority on the eligibility of deposits, coverage level and cooperation between deposit guarantee schemes" 65.-69.lpp. (saite - https://extranet.eba.europa.eu/sites/default/documents/files/documents/10180/2622242/324e89ec-3523-4c5b-bd4f-e415367212bb/EBA%20Opinion%20on%20the%20eligibility%20of%20deposits%20coverage%20level%20and%20cooperation%20between%20DGSs.pdf?retry=1) un EBA 27.11.2021. Opinion of the European Banking Authority on the treatment of client funds under Deposit Guarantee Schemes Directive (saite - https://www.eba.europa.eu/sites/default/files/document_library/Publications/Opinions/2021/1022906/EBA%20Opinion%20on%20the%20treatment%20of%20client%20funds%20under%20DGSD.pdf)</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23-TA-2559</w:t>
    </w:r>
    <w:r>
      <w:br/>
    </w:r>
    <w:r w:rsidR="00000000" w:rsidRPr="00000000" w:rsidDel="00000000">
      <w:rPr>
        <w:rtl w:val="0"/>
      </w:rPr>
      <w:t xml:space="preserve">Izdrukāts 04.03.2024.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23-TA-2559</w:t>
    </w:r>
    <w:r>
      <w:br/>
    </w:r>
    <w:r w:rsidR="00000000" w:rsidRPr="00000000" w:rsidDel="00000000">
      <w:rPr>
        <w:rtl w:val="0"/>
      </w:rPr>
      <w:t xml:space="preserve">Izdrukāts 04.03.2024.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Atzinumi_23-TA-2559.docx</dc:title>
</cp:coreProperties>
</file>

<file path=docProps/custom.xml><?xml version="1.0" encoding="utf-8"?>
<Properties xmlns="http://schemas.openxmlformats.org/officeDocument/2006/custom-properties" xmlns:vt="http://schemas.openxmlformats.org/officeDocument/2006/docPropsVTypes"/>
</file>