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 2021.—2027.gada plānošanas perioda vadības likuma 19. panta 13.punktu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nosaka, ka projekta iesniegumam jāpievieno izmaksu ieguvumu analīze, ņemot vērā noteikumu projekta 42.7.1.apakšpunktā noteikto prasību, anotācijā minēto informāciju, kā arī 2.2.3.7.pasākuma “Gaisa piesārņojošo vielu emisiju samazināšana pašvaldību siltumapgādē” projektu iesniegumu vērtēšanas kritēriju kopā iekļauto kritēriju, kas paredz vērtēt, vai projekta izmaksu lietderīgums ir pamatots ar projekta izmaksu un ieguvumu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Ministru kabineta 2023. gada 13. jūlija sēdes protokollēmumā (prot. Nr. 36 85. § 3. punkts) noteikto – proti, lai veicinātu Eiropas Savienības fondu projektu izvērtējuma par izmaksu un ieguvumu analīzi veikšanu ne tikai gadījumos, kad Eiropas Savienības fondu projekta ietvaros plānots gūt neto ieņēmumus, atbildīgā iestāde, izstrādājot Ministru kabineta noteikumu projektu par specifiskā atbalsta mērķa īstenošanu, paredz nepieciešamību finansējuma saņēmējam veikt izvērtējumu par izmaksu un ieguvumu analīzi. Atbildīgā iestāde minēto risinājumu var nepiemērot, ja to objektīvi un izvērsti pamato Ministru kabineta noteikumu par specifisko atbalsta mērķa īstenošanu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un ieguvumu analīze pēc būtības ir nepieciešama, lai noteiktu, vai plānotajā projektā gaidāmie ieguvumi (finanšu vai sociālekonomiskie) ir lielāki par projekta izmaksām visā projekta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2027. gada 31. decembrim nodrošināts nacionālais rādītājs putekļu daļiņu emisiju ietaupījumam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rādītājam nav noteikta sasniedzamā vērtība un anotācijā norādīts, ka informāciju par sasniegtajām vērtībām ir paredzēts ziņot pēc projekta īstenošanas, lūdzam šo rādītāju svītrot no 5.punkta, bet paredzēt MK noteikumos kā finansējuma saņēmēja uzkrājamo informāciju, kuru iesniedz pēc projekta īstenošanas.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sadarbības iestāde neveiks nacionālo rādītāju pārbaudi, tikai nodrošinās informācijas uzkrāšanu par to KPVIS.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atlases ietvaros pieejamais Eiropas Reģionālās attīstības fonda finansējums netiek izlietots, atlikušo Eiropas Reģionālās attīstības fonda finansējumu, sadarbības iestādei vienojoties ar atbildīgo iestādi par atlases nosacījumiem, novirza nākamo pasākuma atlases kārtu projektu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jo nav skaidrs, kas domāts ar terminu "nav izlietots" - finansējums, kas palicis neizmantots atlases rezultātā vai arī tāds finansējums, kas atbrīvojies projektu īstenošanas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 pieļaujama viena vai vairākas papildu projektu iesniegumu atlases.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zeme, uz kuras atrodas siltumenerģijas pārvades un sadales sistēma, var nebūt projekta iesniedzēja īpašumā, valdījumā vai turējumā.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23.2. apakšpunkta lietderību, ņemot vērā, ka noteikumu projektā nav iekļautas atbalstāmas darbības attiecībā uz siltumenerģijas pārvades un sadales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putekļu (daļiņu) emisiju attīrīšanai nepieciešamo tehnoloģisko risinājumu būvprojekta (tai skaitā ar būvniecības ieceri un ar būvprojektu minimālā sastāvā saistīto sagatavošanas darbu) sagatavošanas izmaksas, kā arī būvprojekta ekspertīzes izmaksas, autoruzraudzības un būvuzraudzības (tai skaitā inženiertehniskās uzraudzības) izmaksas, ja ekspertīzes vai uzraudzības veikšanu nosaka normatīvie akti. Projektēšanas, autoruzraudzības un būvuzraudzības (tai skaitā inženiertehniskās uzraudzības) izmaksas ir attiecināmas, ja tās kopā nepārsniedz 7 % no šo noteikumu </w:t>
            </w:r>
            <w:r w:rsidR="00000000" w:rsidRPr="00000000" w:rsidDel="00000000">
              <w:rPr>
                <w:rtl w:val="0"/>
              </w:rPr>
              <w:t xml:space="preserve">29.1.</w:t>
            </w:r>
            <w:r w:rsidR="00000000" w:rsidRPr="00000000" w:rsidDel="00000000">
              <w:rPr>
                <w:rtl w:val="0"/>
              </w:rPr>
              <w:t xml:space="preserve"> un </w:t>
            </w:r>
            <w:r w:rsidR="00000000" w:rsidRPr="00000000" w:rsidDel="00000000">
              <w:rPr>
                <w:rtl w:val="0"/>
              </w:rPr>
              <w:t xml:space="preserve">29.2. </w:t>
            </w:r>
            <w:r w:rsidR="00000000" w:rsidRPr="00000000" w:rsidDel="00000000">
              <w:rPr>
                <w:rtl w:val="0"/>
              </w:rPr>
              <w:t xml:space="preserve">apakšpunktā</w:t>
            </w:r>
            <w:r w:rsidR="00000000" w:rsidRPr="00000000" w:rsidDel="00000000">
              <w:rPr>
                <w:rtl w:val="0"/>
              </w:rPr>
              <w:t xml:space="preserve"> minētajām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vadlīnijas attiecināmo izmaksu noteikšanai Eiropas Savienības kohēzijas politikas programmas 2021.-2027.gada plānošanas periodā nosaka, ka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Ministru kabineta noteikumos par specifiskā atbalsta mērķa īstenošanu (t.sk. veicot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noteikumu projekta 29.3.apakšpunktā noteikto ierobežojumu, nosakot, ka ierobežojums ir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ar projekta darbībām tieši saistīto publicitātes pasākumu izmaksas, kas veiktas saskaņā ar normatīvajiem aktiem par kārtību, kādā Eiropas Savienības struktūrfondu un Kohēzijas fonda ieviešanā 2021.–2027. gada plānošanas periodā nodrošināma komunikācijas un vizuālās identitātes prasību ievērošana. Minētās izmaksas nepārsniedz 1 %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fondu 2021. - 2027.gada plānošanas periodā izveidojošos praksi un horizontālajos normatīvajos aktos lietoto jēdzienu "komunikācijas un vizuālās identitātes prasību nodrošināšanas nosacījumi", aicinām izvērtēt un pēc nepieciešamības precizēt noteikumu projekta 29.4. un 43.1.apakšpunktu.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svītrot noteikumu projekta 29.4.apakšpunktā vārdus un skaitļus "kas veiktas saskaņā ar normatīvajiem aktiem par kārtību, kādā Eiropas Savienības struktūrfondu un Kohēzijas fonda ieviešanā 2021.–2027. gada plānošanas periodā nodrošināma komunikācijas un vizuālās identitātes prasību ievērošana", ņemot vērā, ka minētie normatīvie akti nosaka komunikācijas un vizuālās identitātes prasības, bet ne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atbilst šo noteikumu </w:t>
            </w:r>
            <w:r w:rsidR="00000000" w:rsidRPr="00000000" w:rsidDel="00000000">
              <w:rPr>
                <w:rtl w:val="0"/>
              </w:rPr>
              <w:t xml:space="preserve">29. </w:t>
            </w:r>
            <w:r w:rsidR="00000000" w:rsidRPr="00000000" w:rsidDel="00000000">
              <w:rPr>
                <w:rtl w:val="0"/>
              </w:rPr>
              <w:t xml:space="preserve">punktam</w:t>
            </w:r>
            <w:r w:rsidR="00000000" w:rsidRPr="00000000" w:rsidDel="00000000">
              <w:rPr>
                <w:rtl w:val="0"/>
              </w:rPr>
              <w:t xml:space="preserve"> un iekļauj finansējuma saņēmēja aktīvos kā amortizējamos ilgtermiņa ieguldījumus, tie paliek attiecīgajā reģionā un tos nenodod lietošanā trešajām personām vismaz piecus gadus pēc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prasības samērību un paredzēt, ka kā aktīvi finansējuma saņēmēja bilancē obligāti būtu iekļaujami tikai ilgtermiņa ieguldījumi, nevis jebkādas izmaksas, kuras paredzētas 29.punktā (t.sk. publicitātes pasākumu izmaksas, pakalpojumu līgumu izmaksas (būvuzraudzība, autoruzraudzība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Polis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 ka projektā plānotās darbības netiek finansētas no citiem valsts, pašvaldības un ārvalstu finanšu atbalsta instrumentiem, vai citiem publiskajiem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pretrunu, kas veidojas starp noteikumu projekta 34.2.apakšpunktu, kurā tiek atļauta kumulācija ar citu komercdarbības atbalstu, kas sniegts saskaņā ar Komisijas lēmumu Nr. 2012/21/ES​​, citas atbalsta programmas vai individuālā atbalsta projekta ietvaros par vienām un tām pašām attiecināmajām izmaksām un noteikumu projekta 37.punktu, kurš nosaka, ka projektā plānotās darbības netiek finansētas no citiem valsts, pašvaldības un ārvalstu finanšu atbalsta instrumentiem, vai citiem publiskajiem līdzekļiem. Lūdzam precizēt noteikumu projektu, nodrošinot šo punktu savstarpēju saderību.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nodrošina horizontālo principu "Nenodarīt būtisku kaitējumu", "Klimatdrošināšana", un "Vienlīdzība, iekļaušana, nediskriminācija un pamattiesību ievērošana" ievērošanu, datu uzkrāšanu un ievadi Kohēzijas politikas fondu vienotās informācijas sistēmā projekta īstenošanas un pēcuzraudzības laikā, tai skaitā piecus gadus pēc noslēguma maksājuma veikšanas katru gadu līdz 31. janvārim sadarbības iestādei tiek iesniegts pārskats par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 nacionālo rādītāja sasniegto putekļu daļiņu emisiju ietaupījumu iepriekšējā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apakšpunktu, atsevišķi izdalot finansējuma saņēmēja pienākumu attiecībā uz horizontālo principu ievērošanu un datu uzkrāšanu par horizontālā principa "Vienlīdzība, iekļaušana, nediskriminācija un pamattiesību ievērošana" rādītājiem, norādot konkrētus rādītājus un atsevišķā punktā finansējuma saņēmēja pienākumu uzkrāt un iesniegt informāciju par putekļu daļiņu emisiju ietaupījumu pēcuzraudzības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horizontālo principu rādītājiem nav paredzēta informācijas sniegšana pēcuzraudzības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ievēro principu “Vienlīdzība, iekļaušana, nediskriminācija un pamattiesību ievērošana” un uzkrāj datus par projekta ietekmi uz horizontālo principu rādītājiem, tai skaitā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 </w:t>
            </w:r>
            <w:r w:rsidR="00000000" w:rsidRPr="00000000" w:rsidDel="00000000">
              <w:rPr>
                <w:i w:val="1"/>
                <w:rtl w:val="0"/>
              </w:rPr>
              <w:t xml:space="preserve">lūdzam norādīt konkrētu rādītāju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42.2.2. </w:t>
            </w:r>
            <w:r w:rsidR="00000000" w:rsidRPr="00000000" w:rsidDel="00000000">
              <w:rPr>
                <w:i w:val="1"/>
                <w:rtl w:val="0"/>
              </w:rPr>
              <w:t xml:space="preserve">lūdzam norādīt konkrētu rādītāju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uzkrāj datus par projekta ietekmi uz horizontālo principu īstenošanu un ievēro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42.3.1.klimatdrošināšana;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42.3.2.nenodarīt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pēc projekta īstenošanas, piecus gadus pēc noslēguma maksājuma veikšanas katru gadu līdz 31. janvārim sniedz sadarbības iestādei informāciju par putekļu daļiņu emisiju ietaupījumu iepriekšējā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Finansējuma saņēmējs novērš interešu konflikta risku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45.punktu ar nosacījumu vai anotāciju ar skaidrojumu, ka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 Vienlaikus lūdzam papildināt, ka finansējuma saņēmējs paraksta apliecinājumus par interešu konflikta neesamību īstenojot projektā noteiktās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Projekta  pēcuzraudzības termiņš ir vienāds ar projektā izveidotās infrastruktūras dzīves cikla periodu no projekta noslēguma maksājuma veikšanas dienas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48. punktu, jo sabiedrisko pakalpojumu infrastruktūrai nenosaka dzīves cikla ilgumu, tāpat vēršam uzmanību, ka pēcuzraudzības termiņam nav jāsakrīt ar  sabiedrisko pakalpojumu sniedzēja pilnvarojuma darbības termiņu. Aicinām precizēt pēcuzraudzībai noteikto termiņu, kas nepārsniedz 5 gadu periodu, kā to paredz Regulas Nr.2021/1060 65.panta 1.punkts.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Akmentiņa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Sadarbības iestādei saskaņā ar civiltiesisko līgumu ir tiesības projekta īstenošanas un pēcuzraudzības laikā pārbaudīt civiltiesiskajā līgumā par projekta īstenošanu sniegto informāciju, veicot pārbaudi projekta īstenošanas vietā atbilstoši Eiropas Savienības fondu projektu pārbaužu veikšanas kārtībai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49.punktu ņemot vērā, ka minētais izriet no Ministru kabineta 21.03.2023. noteikumiem Nr.135 “Eiropas Savienības fondu projektu pārbaužu veikšanas kārtība 2021.–2027. gada plānošanas periodā” un līgumā par projekta īstenošanu noteiktā, attiecīgi nav nepieciešams dublēt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norādīto atsauci uz izvērtējumu “Vienkāršoto izmaksu piemērošanas iespējas 2021.-2027. gada ES fondu plānošanas periodā”, vēršam uzmanību, ka tas satur izvērtētāju kā ekspertu viedokli, bet nav pietiekams pamatojums vienkāršoto izmaksu nepiemērošanai. Ņemot vērā minēto, lūdzam VARAM kā atbildīgo iestādi izvērtēt vienkāršoto izmaksu piemērošanas iespējas pasākumā, t.sk. sniegt argumentētu pamatojumu, kāpēc šajā pasākumā neizpildās Regulas Nr. 2021/1060 53.panta 2.punktā noteiktā prasība par vienkāršoto izmaksu obligātu piemērošanu projektos līdz 200 000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33. un 34.punktā minēto, lūdzam papildināt noteikumu projekta 1.punktu ar jaunu apakšpunktu, nosakot komercdarbības atbalsta piešķiršanas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pasākuma projekta (turpmāk – projekts)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1.4.apakšpunktu un 3.nodaļas nosaukumu ar vārdiem "un finansējuma saņēmējam" pēc vārda "iesniedzējam", ņemot vērā noteikumu projekta 18.punktā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 sagatavo un iesniedz projekta iesniegumu elektroniski, izmantojot Kohēzijas politikas fondu vadības informācijas sistēmu, saskaņā ar pasākuma projektu iesniegumu atlases nolikuma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21.punktā vārdu "elektroniski", lai nerastos interpretācijas iespējas. Vēršam uzmanību, ka atbilstoši Kohēzijas politikas fondu vadības informācijas sistēmas funkcionalitātei, sistēmā ir iestrādāti projekta iesnieguma datu lauku, kuros tiek norādīta atbilstoša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pievienotās vērtības nodokļa izmaksas, ja tās nav atgūstamas nodokļu politiku reglamentējošos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noteikumu projekta 27.3.apakšpunktā noteikto nosacījumu uz noteikumu projekta 29. punktu un izteikt to kā  attiecināmās izmaksas,  papildinot arī ar atsauci uz Regulu.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maksājumi, kas tiešā veidā saistīti ar projektu, ir uzskatāmi par attiecināmajām izmaksām saskaņā ar regulas Nr. 2021/1060 64. panta 1. punkta "c" apakšpunktu, ja tās nav atgūstamas nodokļu politiku reglamentējošos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putekļu (daļiņu) emisiju attīrīšanai nepieciešamo tehnoloģisko risinājumu būvprojekta (tai skaitā ar būvniecības ieceri un ar būvprojektu minimālā sastāvā saistīto sagatavošanas darbu) sagatavošanas izmaksas, kā arī būvprojekta ekspertīzes izmaksas, autoruzraudzības un būvuzraudzības (tai skaitā inženiertehniskās uzraudzības) izmaksas, ja ekspertīzes vai uzraudzības veikšanu nosaka normatīvie akti. Projektēšanas, autoruzraudzības un būvuzraudzības (tai skaitā inženiertehniskās uzraudzības) izmaksas ir attiecināmas, ja tās kopā nepārsniedz 7 % no šo noteikumu </w:t>
            </w:r>
            <w:r w:rsidR="00000000" w:rsidRPr="00000000" w:rsidDel="00000000">
              <w:rPr>
                <w:rtl w:val="0"/>
              </w:rPr>
              <w:t xml:space="preserve">29.1.</w:t>
            </w:r>
            <w:r w:rsidR="00000000" w:rsidRPr="00000000" w:rsidDel="00000000">
              <w:rPr>
                <w:rtl w:val="0"/>
              </w:rPr>
              <w:t xml:space="preserve"> un </w:t>
            </w:r>
            <w:r w:rsidR="00000000" w:rsidRPr="00000000" w:rsidDel="00000000">
              <w:rPr>
                <w:rtl w:val="0"/>
              </w:rPr>
              <w:t xml:space="preserve">29.2. </w:t>
            </w:r>
            <w:r w:rsidR="00000000" w:rsidRPr="00000000" w:rsidDel="00000000">
              <w:rPr>
                <w:rtl w:val="0"/>
              </w:rPr>
              <w:t xml:space="preserve">apakšpunktā</w:t>
            </w:r>
            <w:r w:rsidR="00000000" w:rsidRPr="00000000" w:rsidDel="00000000">
              <w:rPr>
                <w:rtl w:val="0"/>
              </w:rPr>
              <w:t xml:space="preserve"> minētajām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autoruzraudzības un būvuzraudzības izmaksas norādīt atsevišķā punktā, ņemot vērā, ka tās ir saistītas jau ar projekta īstenošanas posmu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Ozola-Tīruma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izmaksas ir attiecināmas no šo noteikumu spēkā stāšanās dienas, izņemot projekta pamatojošās dokumentācijas sagatavošanas izmaksas, kas ir attiecināmas, ja tās veiktas pēc 2021.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kas nosaka finanšu plūsmas pirms projekta apstiprināšanas nodrošināšanas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Atbalsts pasākuma ietvaros tiek sniegts saskaņā ar Eiropas Komisijas lēmumu Nr. 2012/21/ES.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33.punktā vārdu "Atbalsts" ar vārdu "Komercdarbības atbalsts", lai nerastos interpretācijas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 ka projektā plānotās darbības netiek finansētas no citiem valsts, pašvaldības un ārvalstu finanšu atbalsta instrumentiem, vai citiem publiskajiem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37.punktu, ka finansējuma saņēmējs nodrošina arī dubultā finansējuma neiestāšanos.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Sadarbības iestāde, pamatojoties uz finansējuma saņēmēja rakstisku avansa pieprasījumu, atbilstoši normatīvajam aktam par valsts budžeta līdzekļu plānošanu Eiropas Savienības struktūrfondu un Kohēzijas fonda projektu īstenošanai un maksājumu veikšanu 2021.–2027. gada plānošanas periodā, nodrošina finansējuma saņēmējam avansa maksājumu, nepārsniedzot 30 procentus no projektam piešķirtā Eiropas Reģionālās attīstības fonda finansējuma. Avansu var izmaksāt vairākos maksājumos.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39.punktā vārdus "Eiropas Savienības struktūrfondu un Kohēzijas fonda" ar vārdiem "Eiropas Savienības fondu", ņemot vērā 2021.-2027.gada plānošanas perioda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Avansa maksājuma izlietošanas laiks finansējuma saņēmējam nepārsniedz deviņus mēnešus.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samērību noteiktajam termiņam (9 mēneši), ņemot vērā, ka avansa izmaksa var tikt veikta vairākos maksājumos atbilstoši faktiskajai līdzekļu nepieciešamībai. Piedāvājam termiņu saīsināt, nosakot to ne garāku kā 6 mēneši.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Polis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42.7.2. nodrošinot sasniegto rezultātu uzturēšanu līdz pilnvarojuma līguma beigām, bet ne mazāk par izveidotās infrastruktūras dzīves cikla periodu.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sabiedrisko pakalpojumu infrastruktūrai nenosaka dzīves ilgumu, lūdzam precizēt noteikumu projekta 42.7.2. apakšpunktā periodu, uz kuru attiecināma projekta rezultātu ilgtspējas nodrošināšana, svītrojot vārdus “, bet ne mazāk par izveidotās infrastruktūras dzīves cikla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42.7.2. nodrošinot sasniegto rezultātu uzturēšanu līdz pilnvarojuma līguma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1.3.apakšnodaļas sadaļā "Risinājuma apraksts" norādīt pilno Atjaunojamo energoresursu direktīvas un Energoefektivitātes direktīvas nosaukumu un pieņemšanas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anotācijā - rindkopas "Noteikumu projekts paredz šādu investīciju atbalsta pieprasīšanas, izvērtēšanas un saņemšanas secību" trešajā punktā norādīts "atbalstītā projekta finansējuma saņēmējs īsteno visu projektu par privātajiem līdzekļiem noteikumu projektā noteiktajā termiņā (24 mēnešu laikā, bet ne ilgāk kā līdz 2027. gada 31. decembrim) un pēc </w:t>
            </w:r>
            <w:r w:rsidR="00000000" w:rsidRPr="00000000" w:rsidDel="00000000">
              <w:rPr>
                <w:b w:val="1"/>
                <w:rtl w:val="0"/>
              </w:rPr>
              <w:t xml:space="preserve">projekta aktivitāšu īstenošanas iesniedz pasākuma atbalsta maksājuma pieprasījumu sadarbības iestādē līdz ar projekta īstenošanu apliecinošiem dokumentiem</w:t>
            </w:r>
            <w:r w:rsidR="00000000" w:rsidRPr="00000000" w:rsidDel="00000000">
              <w:rPr>
                <w:rtl w:val="0"/>
              </w:rPr>
              <w:t xml:space="preserve">",  vienlaikus ceturtajā punktā norādīts, ka finansējuma saņēmējam ir pieejams avansa maksājums līdz 30% no projektam piešķirtā ERAF finansējuma.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Ozola-Tīruma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norādīto, ka projekta izmaksās nevar tikt iekļautas un atbalstītas izmaksas, kas saistītas ar "4) būvēm, kas pirms projekta iesnieguma iesniegšanas ir pieņemtas ekspluatācijā [..]", t.i., vai norādītais ir attiecināms uz ēku un būvju nojaukšanu, kas kā attiecināmas izmaksas ir noteiktas MK noteikumu 29.2.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Būvniecības likuma 1. panta trešajam punktam "būve — būvdarbu rezultātā radusies ar zemi vai gultni saistīta ķermeniska lieta (ēka vai inženierbūve), kurai ir nosakāms būves lietošanas veids", līdz ar to, vai minētais neierobežo ieguldījumus katlu mājā iekārtu uzstādīšanai.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Ozola-Tīruma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rindkopu "Ņemot vērā, ka putekļu emisijas samazinošo iekārtu uzstādīšanas un iegādes izmaksas tiks noteiktas būvprojektēšanas laikā, noteikumu projekts paredz, ka plānojot projekta kopējās izmaksas ir pieļaujama finanšu rezerves plānošana līdz 10% apmēram, vienlaikus projekta izmaksas ir attiecināmas no šo noteikumu spēkā stāšanās dienas" papildināt atbilstoši MK noteikumu 30. punktam "izņemot projekta pamatojošās dokumentācijas sagatavošanas izmaksas, kas ir attiecināmas, ja tās veiktas pēc 2021. gada 1. janvāra".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Ozola-Tīruma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anotācijas 1.3. punkta "Pašreizējā situācija, problēmas un risinājumi" iedzīvotāju blīvuma aprēķina aprakstu aicinām papildināt atbilstoši MK noteikumu 6. punktā noteiktajam, t.sk. norādot, kā iegūts koeficients 6,28 kvadrātkilometri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Ozola-Tīruma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sabiedrisko pakalpojumu infrastruktūrai nenosaka dzīves cikla ilgumu, lūdzam dzēst lieko informāciju no anotācijas "</w:t>
            </w:r>
            <w:r w:rsidR="00000000" w:rsidRPr="00000000" w:rsidDel="00000000">
              <w:rPr>
                <w:i w:val="1"/>
                <w:rtl w:val="0"/>
              </w:rPr>
              <w:t xml:space="preserve">noteikumu aspektā pieņemts, ka infrastruktūras dzīves cikls ir vismaz 10 gadi"</w:t>
            </w:r>
            <w:r w:rsidR="00000000" w:rsidRPr="00000000" w:rsidDel="00000000">
              <w:rPr>
                <w:rtl w:val="0"/>
              </w:rPr>
              <w:t xml:space="preserve">. Aicinām noteikt, ka finansējuma saņēmējam ir pienākums nodrošināt infrastruktūras ilgtspēju vismaz 5 gadu pēc noslēguma maksājuma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Akmentiņa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par: "10) jebkādas būvdarbu, tai skaitā teritorijas labiekārtošanas izmaksas sadedzināšanas iekārtā un ar to saistītajā infrastruktūrā (siltumapgādes ražošanas avotā), kas tiešā veidā nav saistītas ar atbalstāmo darbību ierīkošanu, izbūvi un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formulējumu, kādas tieši izmaksas nevar tikt iekļautas/atbalstītas. Esošā redakcija nekorekti norāda uz būvdarbu izmaksām "sadedzināšanas iekārtā".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2)Aicinām anotācijā papildināt ar piemēriem, kādas saistītās izmaksas nevar tikt attiecinātas. Piemēram, katlu māju projektos būvdarbi visbiežāk iekļauj arī pievadceļu un apgriešanās laukumu izbūvi pie objekta.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Polis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noteikts, ka projekta izmaksās nevar tikt iekļautas un atbalstītas izmaksas, kas saistītas ar "4) būvēm, kas pirms projekta iesnieguma iesniegšanas ir pieņemtas ekspluatācijā, vai precēm, par kurām pirms projekta iesnieguma iesniegšanas ir parakstīti preču nodošanas un pieņemšanas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izmaksu attiecināmība sākas pēc SAM MKN apstiprināšanas, lūdzam izvērtēt, kā tiks novērsts risks, ka FS darbības būs veicis noteiktajā attiecināmības periodā, bet pirms PIV iesniegšanas, līdz ar to izmaksas nevarēt tikt attiecinātas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Polis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informāciju par finansējuma saņēmēju, ņemot vērā, ka ar noteikumu projektu tiek uzlikti pienākumi finansējuma saņēmējiem, kas jānodrošina īstenojot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3.sdaļas 6.punktā norādītā ERAF finansējuma 2026.gadam izdevumu procentuālo apmēru, jo, saskaņā ar aprēķinu, tam būtu jābūt 40%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kārtējo gadu norādīt 2023.gadu un atbilstoši precizēt arī pārējos gadus, vienlaicīgi norādot atbilstoši konkrētajam gadam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20.09.2023.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20.09.2023.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Atzinumi_23-TA-1822.docx</dc:title>
</cp:coreProperties>
</file>

<file path=docProps/custom.xml><?xml version="1.0" encoding="utf-8"?>
<Properties xmlns="http://schemas.openxmlformats.org/officeDocument/2006/custom-properties" xmlns:vt="http://schemas.openxmlformats.org/officeDocument/2006/docPropsVTypes"/>
</file>