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ir sasniedzami šādi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5.punktā ir noteikti pasākuma pirmās kārtas ietvaros sasniedzamie rādītāji, norādot, ka 80 procenti no pedagogu un atbalsta personāla un 75 procentu audzēkņi nodrošināti ar informācijas un komunikāciju tehnoloģisko (turpmāk – IKT) nodrošinājumu, kā arī no šo noteikumu projekta 15.2.apakšpunktā noteiktā izriet, ka sadarbības partnerim, t.i., pašvaldībai, ir pienākums nodrošināt noteikumos minēto atbalstu atbalstāmo darbību īstenošanai, proti, sniegt atbalstu IKT lietošanas instruktāžu, apmācību, uzskaites nodrošināšanai u.c. Ņemot vērā iepriekš minēto, vēršam uzmanību, ka IKT vienību skaita palielināšanas gadījumā vienlaikus risināms arī jautājums par IT atbalsta personāla trūkumu, proti, pašvaldības iespējām nodrošināt šādas jomas speciālistiem atalgojumu atbilstoši vidējam tirgus atalgojuma līmenim, lai tas būtu ne tikai konkurētspējīgs, bet sekmētu šī pasākuma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15.04.2024.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15.04.2024.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