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lieguma "Augstroze"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pārvietoties (arī apstāties un stāvēt) ar mehāniskajiem transportlīdzekļiem, tai skaitā automašīnām, traktortehniku, motocikliem, tricikliem, kvadricikliem, mopēdiem un sniega motocikliem, kā arī dzīvniekiem un pajūgiem ārpus ceļiem un dabiskām brauktuvēm (ne vairāk kā četrus metrus plata neizbūvēta brauktuve meža vai lauksaimniecības zemes apsaimniekošanas un aizsardzības vajadzībām), izņemot: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14.1.apakšpunkta redakciju, jo šobrīd tā saturs nav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Siliņš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teritorijas apsaimniekošanas (tai skaitā medībām un zvejai), uzraudzības un valsts aizsardzības uzdevumu veikšanai, sabiedriskās kārtības un drošības nodrošināšanai, ugunsdrošība spasākumiem;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14.1.2.apakšpunktā vārdus "ugunsdrošība spasākumiem" ar vārdiem "ugunsdrošības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Siliņš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27.02.2024.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27.02.2024.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Atzinumi_23-TA-459.docx</dc:title>
</cp:coreProperties>
</file>

<file path=docProps/custom.xml><?xml version="1.0" encoding="utf-8"?>
<Properties xmlns="http://schemas.openxmlformats.org/officeDocument/2006/custom-properties" xmlns:vt="http://schemas.openxmlformats.org/officeDocument/2006/docPropsVTypes"/>
</file>