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Nesaskatām Ārlietu ministrijas kompetenci un līdzatbildību šajā uzdevumā: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2.1.1. pasākuma redakciju, izsakot to “Attīstīt Rīgu un Rīgas metropoles areāla teritoriju kā TEN-T tīklā integrētu multimodālu transporta mezglu, īstenojot pilsētas transporta un publiskās infrastruktūras pārkārtojumus un uzsākot Rail Baltica pamattrases būvniecību”, mainīt izpildes termiņu uz 31.12.2027. un papildināt līdzatbildīgās institūcijas ar  FM, EM un 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2.1.1. pasākuma redakciju, izsakot to “Attīstīt Rīgu un Rīgas metropoles areāla teritoriju kā TEN-T tīklā integrētu multimodālu transporta mezglu, īstenojot pilsētas transporta un publiskās infrastruktūras pārkārtojumus un uzsākot Rail Baltica pamattrases būvniecību”, mainīt izpildes termiņu uz 31.12.2027. un papildināt līdzatbildīgās institūcijas ar FM un 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Indriķis Rusovs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19.11.2024. 21.39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19.11.2024. 21.39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