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23-TA-1179: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2011. gada 14. jūnija noteikumos Nr. 450 "Noteikumi par valsts naftas produktu rezervju apmēru, apmēru, kādā maksājama valsts nodeva par drošības rezervju uzturēšanu, kā arī tās aprēķināšanas, maksāšanas un administrēšanas kārtību"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projekta anotācijā minēts, ka valsts nodevas apmērs tiek mainīts, pamatojoties uz valsts naftas produktu drošības rezervju uzglabāšanas pakalpojumā ietverto naftas rezervju apjoma (tonnās) un izmaksu izmaiņām. Lai gan Enerģētikas likuma 72.</w:t>
            </w:r>
            <w:r w:rsidR="00000000" w:rsidRPr="00000000" w:rsidDel="00000000">
              <w:rPr>
                <w:vertAlign w:val="superscript"/>
                <w:rtl w:val="0"/>
              </w:rPr>
              <w:t xml:space="preserve">4</w:t>
            </w:r>
            <w:r w:rsidR="00000000" w:rsidRPr="00000000" w:rsidDel="00000000">
              <w:rPr>
                <w:rtl w:val="0"/>
              </w:rPr>
              <w:t xml:space="preserve"> pants noteic, ka Būvniecības valsts kontroles birojs šā likuma 72.</w:t>
            </w:r>
            <w:r w:rsidR="00000000" w:rsidRPr="00000000" w:rsidDel="00000000">
              <w:rPr>
                <w:vertAlign w:val="superscript"/>
                <w:rtl w:val="0"/>
              </w:rPr>
              <w:t xml:space="preserve">1</w:t>
            </w:r>
            <w:r w:rsidR="00000000" w:rsidRPr="00000000" w:rsidDel="00000000">
              <w:rPr>
                <w:rtl w:val="0"/>
              </w:rPr>
              <w:t xml:space="preserve"> pantā minēto funkciju izpildei nepieciešamos izdevumus sedz no valsts nodevas ieņēmumiem, tomēr nodevas apmēra maiņai ir jābūt saistītai ar nodevas mērķi, nevis tās izlietojumu. Atbilstoši likuma “Par nodokļiem un nodevām” 1.pantā noteiktajam, valsts nodeva ir obligāts maksājums valsts budžetā vai šajā likumā noteiktajos gadījumos pašvaldības budžetā par valsts vai pašvaldības institūcijas veicamo darbību, kas izriet no šīs institūcijas funkcijām. Valsts nodevas mērķis ir personu darbību regulēšana </w:t>
            </w:r>
            <w:r w:rsidR="00000000" w:rsidRPr="00000000" w:rsidDel="00000000">
              <w:rPr>
                <w:b w:val="1"/>
                <w:rtl w:val="0"/>
              </w:rPr>
              <w:t xml:space="preserve">(kontrolēšana, veicināšana, ierobežošana), </w:t>
            </w:r>
            <w:r w:rsidR="00000000" w:rsidRPr="00000000" w:rsidDel="00000000">
              <w:rPr>
                <w:rtl w:val="0"/>
              </w:rPr>
              <w:t xml:space="preserve">līdz ar to nodevas mērķis nevar būt saistīs ar iestādes administratīvo izmaksu segšanu.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šo rodas jautājums – kā tieši mērķis segt Būvniecības valsts kontroles biroja izdevumus ir samērojams ar likumā noteiktajiem valsts nodevas mērķiem un nodevu sistēmas kopējo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papildināt anotāciju ar pamatojumu nepieciešamībai palielināt nodevas summu, kurš atbilstu nodevas mērķim.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lūdzam noteikumu projekta anotācijā precizēt pamatojumu konkrētā regulējuma izstrādei, jo iekļautais pamatojums - </w:t>
            </w:r>
            <w:r w:rsidR="00000000" w:rsidRPr="00000000" w:rsidDel="00000000">
              <w:rPr>
                <w:i w:val="1"/>
                <w:rtl w:val="0"/>
              </w:rPr>
              <w:t xml:space="preserve">grozījumi tiesību aktā izstrādāti, pamatojoties uz Enerģētikas likuma 72.</w:t>
            </w:r>
            <w:r w:rsidR="00000000" w:rsidRPr="00000000" w:rsidDel="00000000">
              <w:rPr>
                <w:i w:val="1"/>
                <w:vertAlign w:val="superscript"/>
                <w:rtl w:val="0"/>
              </w:rPr>
              <w:t xml:space="preserve">3</w:t>
            </w:r>
            <w:r w:rsidR="00000000" w:rsidRPr="00000000" w:rsidDel="00000000">
              <w:rPr>
                <w:i w:val="1"/>
                <w:rtl w:val="0"/>
              </w:rPr>
              <w:t xml:space="preserve"> pantu - </w:t>
            </w:r>
            <w:r w:rsidR="00000000" w:rsidRPr="00000000" w:rsidDel="00000000">
              <w:rPr>
                <w:rtl w:val="0"/>
              </w:rPr>
              <w:t xml:space="preserve">nav korekts. Proti, norādītais Enerģētikas likuma pants neparedz valsts nodevas paaustināšanas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Linards Susējs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pievienot informāciju valsts nodevas par naftas produktu glabāšanu apmēra palielinājuma ietekmi uz katru no mazumtirdzniecībā pieejamiem degvielas veidiem cenu (litrā). Anotācijā minētais secinājums, ka iepriekšējā nodevas pārskatīšana nav veicinājusi degvielas cenu pieaugumu, nav pietiekami argumentēts, jo degvielas cenas ir samazinājušās citu faktoru dēļ, bet nodevas palielināšanās dēļ tā nav samazinājusies pietiekamā apmērā, piemēram, salīdzinot ar Lietuvu.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Juris Lukss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3.sadaļu, 2., 4. un 6.ailē, 1., 1.1., 2. un 2.1. punktā norādot likumā “Par valsts budžetu 2023. gadam un budžeta ietvaru 2023., 2024. un 2025. gadam” Ekonomikas ministrijas budžeta apakšprogrammā 29.01.00 “Naftas produktu rezervju uzturēšana” paredzēto finansējumu naftas produktu rezervju uzturēšanai 2023.gadā 60 588 388 euro apmērā, 2024.gadā 46 994 549 euro apmērā un 2025.gadā 42 781 941 euro apmērā, savukārt 3., 5., 7. un 8.ailē atspoguļojot valsts nodevas palielināšanas rezultātā sagaidāmās ieņēmumu un izdevumu apmēra izmaiņas un 6.punktā sniedzot to aprēķinu.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23-TA-1179</w:t>
    </w:r>
    <w:r>
      <w:br/>
    </w:r>
    <w:r w:rsidR="00000000" w:rsidRPr="00000000" w:rsidDel="00000000">
      <w:rPr>
        <w:rtl w:val="0"/>
      </w:rPr>
      <w:t xml:space="preserve">Izdrukāts 24.05.2023. 16.58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23-TA-1179</w:t>
    </w:r>
    <w:r>
      <w:br/>
    </w:r>
    <w:r w:rsidR="00000000" w:rsidRPr="00000000" w:rsidDel="00000000">
      <w:rPr>
        <w:rtl w:val="0"/>
      </w:rPr>
      <w:t xml:space="preserve">Izdrukāts 24.05.2023. 16.58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Atzinumi_23-TA-1179.docx</dc:title>
</cp:coreProperties>
</file>

<file path=docProps/custom.xml><?xml version="1.0" encoding="utf-8"?>
<Properties xmlns="http://schemas.openxmlformats.org/officeDocument/2006/custom-properties" xmlns:vt="http://schemas.openxmlformats.org/officeDocument/2006/docPropsVTypes"/>
</file>