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Aizsardzības ministrija Latvijā reģistrētiem komersantiem izsniedz licenci ar militāra rakstura sprādzienbīstamiem priekšmetiem, nesprāgušu munīciju un citām militāra rakstura ķīmiskām vielām piesārņoto teritoriju izpētei un nesprāgušas munīcijas meklēšanai, identificēšanai, izcelšanai, savākšanai un uzglabāšanai. Par licences izsniegšanu maksājama valsts nodeva. Kārtību, kādā licence izsniedzama, anulējama vai apturama tās darbība, kā arī par licences izsniegšanu maksājamās valsts nodevas apmēru un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iekļautā 35.</w:t>
            </w:r>
            <w:r w:rsidR="00000000" w:rsidRPr="00000000" w:rsidDel="00000000">
              <w:rPr>
                <w:vertAlign w:val="superscript"/>
                <w:rtl w:val="0"/>
              </w:rPr>
              <w:t xml:space="preserve">10</w:t>
            </w:r>
            <w:r w:rsidR="00000000" w:rsidRPr="00000000" w:rsidDel="00000000">
              <w:rPr>
                <w:rtl w:val="0"/>
              </w:rPr>
              <w:t xml:space="preserve"> panta pirmā daļa nosaka pienākumu maksāt valsts nodevu par konkrētās licences (ar militāra rakstura sprādzienbīstamiem priekšmetiem, nesprāgušu munīciju un citām militāra rakstura ķīmiskām vielām piesārņoto teritoriju izpētei un nesprāgušas munīcijas meklēšanai, identificēšanai, izcelšanai, savākšanai un uzglabāšanai) izsniegšanu. Lūdzam izvērtēt, vai valsts nodeva nebūtu nosakāma arī par licences pārreģistrāciju, ņemot vērā, ka likumprojektā iekļautā 35.</w:t>
            </w:r>
            <w:r w:rsidR="00000000" w:rsidRPr="00000000" w:rsidDel="00000000">
              <w:rPr>
                <w:vertAlign w:val="superscript"/>
                <w:rtl w:val="0"/>
              </w:rPr>
              <w:t xml:space="preserve">10</w:t>
            </w:r>
            <w:r w:rsidR="00000000" w:rsidRPr="00000000" w:rsidDel="00000000">
              <w:rPr>
                <w:rtl w:val="0"/>
              </w:rPr>
              <w:t xml:space="preserve"> panta trešajā daļā paredzēts pienākums licenci ik pēc trīs gadiem pārreģistrēt Aizsardzības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norādītos gadus, ņemot vērā, ka kārtējais gads ir 2025.gads.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24.03.2025.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24.03.2025.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