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5. februāra noteikumos Nr. 84 "Noteikumi par atsevišķu bīstamu ķīmisku vielu lietošanas ierobežojumiem elektriskajās un elektroniskajās iekārtās"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Ierosinām tiesību akta projekta anotācijas sadaļā "1.3. Pašreizējā situācija, problēmas un risinājumi" problēmu un risinājumu aprakstā koriģēt acīmredzamu tehnisku kļūdu transponējamas direktīvas numurā, kad divreiz tiek kļūdaini lietots numurs 2025/1082, nevis numurs 2025/1802.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"Problēmas apraksts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MK noteikumos Nr.84 nav transponētas Direktīvas 2025/</w:t>
            </w:r>
            <w:r w:rsidR="00000000" w:rsidRPr="00000000" w:rsidDel="00000000">
              <w:rPr>
                <w:u w:val="single"/>
                <w:rtl w:val="0"/>
              </w:rPr>
              <w:t xml:space="preserve">1802</w:t>
            </w:r>
            <w:r w:rsidR="00000000" w:rsidRPr="00000000" w:rsidDel="00000000">
              <w:rPr>
                <w:rtl w:val="0"/>
              </w:rPr>
              <w:t xml:space="preserve"> prasības attiecībā uz atbrīvojumu svina izmantošanai lodmetālos ar augstu kušanas temperatūru.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Risinājuma apraksts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Precizēta MK noteikumu Nr.84 3.pielikuma 16.punkta redakcija, kā arī MK noteikumu Nr.84 3.pielikums papildināts ar 16.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, 16.</w:t>
            </w:r>
            <w:r w:rsidR="00000000" w:rsidRPr="00000000" w:rsidDel="00000000">
              <w:rPr>
                <w:vertAlign w:val="superscript"/>
                <w:rtl w:val="0"/>
              </w:rPr>
              <w:t xml:space="preserve">2</w:t>
            </w:r>
            <w:r w:rsidR="00000000" w:rsidRPr="00000000" w:rsidDel="00000000">
              <w:rPr>
                <w:rtl w:val="0"/>
              </w:rPr>
              <w:t xml:space="preserve">, 16.</w:t>
            </w:r>
            <w:r w:rsidR="00000000" w:rsidRPr="00000000" w:rsidDel="00000000">
              <w:rPr>
                <w:vertAlign w:val="superscript"/>
                <w:rtl w:val="0"/>
              </w:rPr>
              <w:t xml:space="preserve">3</w:t>
            </w:r>
            <w:r w:rsidR="00000000" w:rsidRPr="00000000" w:rsidDel="00000000">
              <w:rPr>
                <w:rtl w:val="0"/>
              </w:rPr>
              <w:t xml:space="preserve">, 16.</w:t>
            </w:r>
            <w:r w:rsidR="00000000" w:rsidRPr="00000000" w:rsidDel="00000000">
              <w:rPr>
                <w:vertAlign w:val="superscript"/>
                <w:rtl w:val="0"/>
              </w:rPr>
              <w:t xml:space="preserve">4</w:t>
            </w:r>
            <w:r w:rsidR="00000000" w:rsidRPr="00000000" w:rsidDel="00000000">
              <w:rPr>
                <w:rtl w:val="0"/>
              </w:rPr>
              <w:t xml:space="preserve">, 16.</w:t>
            </w:r>
            <w:r w:rsidR="00000000" w:rsidRPr="00000000" w:rsidDel="00000000">
              <w:rPr>
                <w:vertAlign w:val="superscript"/>
                <w:rtl w:val="0"/>
              </w:rPr>
              <w:t xml:space="preserve">5</w:t>
            </w:r>
            <w:r w:rsidR="00000000" w:rsidRPr="00000000" w:rsidDel="00000000">
              <w:rPr>
                <w:rtl w:val="0"/>
              </w:rPr>
              <w:t xml:space="preserve">, 16.</w:t>
            </w:r>
            <w:r w:rsidR="00000000" w:rsidRPr="00000000" w:rsidDel="00000000">
              <w:rPr>
                <w:vertAlign w:val="superscript"/>
                <w:rtl w:val="0"/>
              </w:rPr>
              <w:t xml:space="preserve">6</w:t>
            </w:r>
            <w:r w:rsidR="00000000" w:rsidRPr="00000000" w:rsidDel="00000000">
              <w:rPr>
                <w:rtl w:val="0"/>
              </w:rPr>
              <w:t xml:space="preserve"> un 16.</w:t>
            </w:r>
            <w:r w:rsidR="00000000" w:rsidRPr="00000000" w:rsidDel="00000000">
              <w:rPr>
                <w:vertAlign w:val="superscript"/>
                <w:rtl w:val="0"/>
              </w:rPr>
              <w:t xml:space="preserve">7</w:t>
            </w:r>
            <w:r w:rsidR="00000000" w:rsidRPr="00000000" w:rsidDel="00000000">
              <w:rPr>
                <w:rtl w:val="0"/>
              </w:rPr>
              <w:t xml:space="preserve"> apakšpunktu. Atsauce uz ES direktīvām papildināta ar atsauci uz Direktīvu 2025/</w:t>
            </w:r>
            <w:r w:rsidR="00000000" w:rsidRPr="00000000" w:rsidDel="00000000">
              <w:rPr>
                <w:u w:val="single"/>
                <w:rtl w:val="0"/>
              </w:rPr>
              <w:t xml:space="preserve">1802</w:t>
            </w:r>
            <w:r w:rsidR="00000000" w:rsidRPr="00000000" w:rsidDel="00000000">
              <w:rPr>
                <w:rtl w:val="0"/>
              </w:rPr>
              <w:t xml:space="preserve">."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Vitālijs Jupatovs (EM)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</w:t>
    </w:r>
    <w:r>
      <w:br/>
    </w:r>
    <w:r w:rsidR="00000000" w:rsidRPr="00000000" w:rsidDel="00000000">
      <w:rPr>
        <w:rtl w:val="0"/>
      </w:rPr>
      <w:t xml:space="preserve">Izdrukāts 10.03.2026. 12.54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</w:t>
    </w:r>
    <w:r>
      <w:br/>
    </w:r>
    <w:r w:rsidR="00000000" w:rsidRPr="00000000" w:rsidDel="00000000">
      <w:rPr>
        <w:rtl w:val="0"/>
      </w:rPr>
      <w:t xml:space="preserve">Izdrukāts 10.03.2026. 12.54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