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25-TA-877: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Ekonomiskās ilgtspējas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pamatbudžetā kārtējam gadam un ilgtermiņa saistībās turpmākajiem gadiem finansējumu šā likuma 13. pantā minētajiem mērķiem paredz kā dotāciju no vispārējiem ieņēmumiem atsevišķā Klimata un enerģētikas ministrijas budžeta programmā (apakšprogrammā) atbilstoši Emisijas kvotu izsolīšanas instrumenta ietvaros apstiprināto projektu naudas plūsmu prognozēm un nepieciešamajiem Emisijas kvotu izsolīšanas instrumenta administratīvajiem izdevumiem, ņemot vērā iepriekšējos gados no šā panta septītajā daļā minētajiem finansējuma avotiem iegūto un neizlietoto finanšu līdzekļu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12.panta trešajā daļā norādīto atsauci uz šā panta septīto daļu, ņemot vērā, ka septītās daļas 12. pantā nav.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attiecībā uz Sociālo klimata fondu (turpmāk – SKF) paredz vispārīgu deleģējumu Ministru kabinetam SFK īstenošanas un uzraudzības kārtības noteikšanai. Lūdzam to papildināt ar nosacījumu, ka jānodrošina, ka investīcijas plānojamas tā, lai vienlaikus ar klimata mērķiem nodrošinātu un demonstrētu arī ekonomisko atdevi, t.i. atbalstāmo pasākumus pamatojot ar ekonomisku analīzi un CBA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Āboliņa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detalizētāk skaidrot tieši Finanšu ministrijas kā ES fondu/AF vadošās/ koordinējošas iestādes lomu un nepieciešamo rīcību sadarbības iestādes statusā klimata politikas īstenošanā, ņemot vērā, ka Finanšu ministrijas kā ES fondu vadošās iestādes statuss minēts kā viens no argumentiem, kāpēc Finanšu ministrijai  jābūt sadarbības iestādei.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Āboliņa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1.3.sadaļā norādīto informāciju rindkopā par finansējuma jautājumu likumprojekta ieviešanai, papildinot ar skaidrojumu, ka 2024.gadā ir stājušies spēkā ES Stabilitātes un izaugsmes pakta nosacījumi (jaunie ES fiskālie noteikumi), saskaņā ar tiem izstrādāts un Ministru kabineta 15.04.2025. sēdē apstiprināts Latvijas Fiskāli strukturālā plāna 2025.-2028.gadam 2025.gada Progresa ziņojums (prot. Nr. 15 36. §), kurā 2025.gada vispārējās valdības budžeta deficīts tiek prognozēts 1 320 milj. euro jeb 3,1% no IKP apmērā, kas ir par 0,2 procentpunktiem augstāks nekā 2025.gada budžeta likumā, kā arī indikatīvā 2026.-2028. gada budžeta ietvara sagatavošanai fiskālā telpa vidējā termiņā saglabājas negatīva, tātad, balstoties uz šī brīža prognozēm, iespējas piešķirt papildu finanšu resursus turpmākajos gados būs ierobežotas, kas nozares ministrijām jāņem vērā normatīvo aktu un plānošanas dokumentu izstrādē. Papildus izdevumu finansēšana ir iespējama, samazinot finansējumu citiem izdevumiem, vai arī piedāvājot jaunus diskrecionāros ieņēmumu pasākumus. Vienlaikus jāņem vērā, ka valdība kā 2026.-2028. gada budžeta prioritātes ir noteikusi aizsardzību un demogrāfiju (Ministru kabineta 27.03.2025. rīkojums Nr.179). Ņemot vērā minēto, likumprojekta ieviešana jābalsta uz esošo valsts budžeta un pašvaldību budžeta finansējumu un pieejamiem ES politiku instrumentu un pārējās ārvalstu finanšu palīdzības finansējumu resursiem.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anotācijas 1.3.sadaļā sniegto informāciju par likumprojekta 25.pantu, ievērojot, ka likums “Par valsts budžetu 2025. gadam un budžeta ietvaru 2025., 2026. un 2027. gadam” ir stājies spēkā un tā ietvaros nav atbalstīts prioritārais pasākums par investīciju programmu, kā arī ņemt vērā iepriekš minēto, ka saskaņā ar Ministru kabineta 15.04.2025. sēdē apstiprinātā Latvijas Fiskāli strukturālā plāna 2025.-2028.gadam 2025.gada Progresa ziņojumā (prot. Nr. 15 36. §) norādīto indikatīvā 2026.-2028. gada budžeta ietvara sagatavošanai fiskālā telpa vidējā termiņā saglabājas negatīva, kas nozīmē, ka iespējas piešķirt papildu finanšu resursus turpmākajos gados būs ierobežotas, kas nozares ministrijām ir jāņem vērā pasākumu īstenošanā, turklāt valdība kā 2026.-2028. gada budžeta prioritātes ir noteikusi aizsardzību un demogrāfiju (Ministru kabineta 27.03.2025. rīkojums Nr.179), attiecīgi jāsvītro norādes par papildu valsts budžeta finansējumu investīciju programmai.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arī pārskatīt un nepieciešamības gadījumā precizēt likumprojekta 25.panta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"Problēmas un risinājumi" nav rodama saite ar zemsvītras piezīmi "[1] 2003. gada 27. oktobra Padomes direktīvai 2003/96/EK, kas pārkārto Kopienas noteikumus par nodokļu uzlikšanu energoproduktiem un elektroenerģijai". Līdz ar to lūdzam to dzēst, vai arī attiecīgi precizēt šo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1.3.sadaļā tekstu "akcīzes nodokļi". Norādām, ka akcīzes nodoklis ir vienskaitlī lietojams termins, bet ar akcīzes nodokli apliekami ir vairāki nodokļa objekti/preču grupas.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norādīt, ka likumprojektā paredzētās normas tiks nodrošinātas likumprojekta īstenošanā iesaistīto institūciju esošos budžeta līdzekļu ietvaros, kā arī piesaistot ES politiku instrumentu un pārējās ārvalstu finanšu palīdzības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iespēju norādīt jau šobrīd esošo finansējumu un tā sadalījumu, kas tiek izmantots klimata jautājumu ieviešanas nodrošināšanā.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nav atbalstāma tāda likumprojekta virzība, kuru nevarēs īstenot nepietiekama finansējuma dēļ, līdz ar to pirms likumprojekta virzīšanas ir jāapzina pieejami resursi un finansējuma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Ekonomiskās ilgtspējas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Saeimā izskatīšanā iesniegts likumprojekts "Klimata likums" (718/Lp14) un šajā likumprojektā norādītās jomas un nosacījumi pārklājas ar to, lūdzam skaidrot, kā plānots nodrošināt, lai vienlaikus divos likumos nestātos spēkā vienādas normas.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w:t>
            </w:r>
            <w:r w:rsidR="00000000" w:rsidRPr="00000000" w:rsidDel="00000000">
              <w:rPr>
                <w:b w:val="1"/>
                <w:rtl w:val="0"/>
              </w:rPr>
              <w:t xml:space="preserve">globālās sasilšanas potenciāls</w:t>
            </w:r>
            <w:r w:rsidR="00000000" w:rsidRPr="00000000" w:rsidDel="00000000">
              <w:rPr>
                <w:rtl w:val="0"/>
              </w:rPr>
              <w:t xml:space="preserve"> – vērtības metriskais rādītājs 100 gadu laikposmam, kas tiek izmantots, lai kvantitatīvi izteiktu dažādu siltumnīcefekta gāzu ietekmi uz klimata pārmaiņām, salīdzinot to ar oglekļa dioksīdu, kura globālās sasilšanas potenciāls ir vienāds ar 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dzēst 1.panta pirmās daļas 4.punktu, jo šis termins nekur tālāk likumā netiek lietots.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Ruta Konstante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Klimata un enerģētikas ministrija ik pēc 10 gadiem izstrādā un Ministru kabinets apstiprina Eiropas Parlamenta un Padomes 2018. gada 11. decembra regulas (ES) 2018/1999 par enerģētikas savienības un rīcības klimata politikas jomā pārvaldību un ar ko groza Eiropas Parlamenta un Padomes regulas (EK) Nr. 663/2009 un (EK) Nr. 715/2009, Eiropas Parlamenta un Padomes direktīvas 94/22/EK, 98/70/EK, 2009/31/EK, 2009/73/EK, 2010/31/ES, 2012/27/ES un 2013/30/ES, Padomes direktīvas 2009/119/EK un (ES) 2015/652 un atceļ Eiropas Parlamenta un Padomes regulu (ES) Nr. 525/2013 (turpmāk – regula 2018/1999), 15. panta 1. punktā minēto klimata pārmaiņu politikas ilgtermiņa stratēģiju (turpmāk – stratēģija), kurā noteikti siltumnīcefekta gāzu emisiju samazināšanas un oglekļa dioksīda piesaistes mērķi turpmākajiem 10, 20 un 30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atskaites punkts, no kura brīža sākas 10 gadu periods, ierosinām 3.panta 1.daļā minēt konkrētu datumu, kā tas noteikts Pārejas noteikumu 4.punktā: Šā likuma 3. panta pirmajā daļā minēto stratēģiju Ministru kabinets pirmo reizi apstiprina līdz 2029. gada 1. janvārim.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Ruta Konstante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apstiprinājis stratēģiju, tai skaitā atjaunoto stratēģiju, Klimata un enerģētikas ministrija iesniedz to apstiprināšanai Eiropas Komisijai.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3.panta trešās daļas teikuma sākumu: "Pēc tam, kad Ministru Kabinets....."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Ruta Konstante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enerģētika (izņemot šā likuma pielikumā noteiktās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4.panta  pirmās daļas 1.apakšpunktu, jo nav saprotams, kādas ir darbības ir izņēmumi, jo likuma pielikumā ir definēti avoti.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Ruta Konstante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rūpnieciskie procesi un produktu ražošana (izņemot šā likuma 1. pielikumā noteiktās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4.panta pirmās daļas 3.apakšpunktu, jo nav saprotams, kādas ir darbības ir izņēmumi, jo likuma pielikumā ir definēti avoti.  Tā kā likumam ir tikai viens pielikums, lūgums dzēst skaitli "1".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Ruta Konstante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Klimata un enerģētikas ministrija sadarbībā ar Ekonomikas ministriju, Finanšu ministriju, Iekšlietu ministriju, Izglītības un zinātnes ministriju, Kultūras ministriju, Labklājības ministriju, Satiksmes ministriju, Veselības ministriju, Viedās administrācijas un reģionālās attīstības ministriju un Zemkopības ministriju ik pēc 10 gadiem sagatavo un Ministru kabinets apstiprina Eiropas Parlamenta un Padomes 2021. gada 30. jūnija (ES) regulas 2021/1119, ar ko izveido klimatneitralitātes panākšanas satvaru un groza regulas Nr. (ES) 401/2009 un (ES) 2018/1999, 5. panta 4. punktā noteikto nacionālo pielāgošanās klimata pārmaiņām ilgtermiņa attīstības plānošanas dokumentu (turpmāk – attīstības plānošanas dokuments) 10 gadu perspektīvā.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atskaites punkts, no kura brīža sākas 10 gadu termiņš, ierosinām 7.panta pirmajā daļā noteikt sākotnējo termiņu. Vai Pārejas noteikumu 6.daļā minētais termiņš nav par ilgu, ja attīstības plānošanas dokumentu Ministru kabinets pirmo reizi apstiprina līdz 2031. gada 1. janvārim.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Ruta Konstante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Klimata un enerģētikas ministrija ik pēc 10 gadiem vai pēc nepieciešamības izstrādā un atjauno klimata pārmaiņu radīto risku un ievainojamības izvērtējumu, kas nepieciešams attīstības plānošanas dokumenta izstrādē vai atjaunināšanā.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sākuma atskaites punkts, pēc kura sākas 10 gadu periods, ierosinām 9.panta trešajā daļā rakstīt konkrētu datumu. Saskaņā ar Pārejas noteikumu 7.daļu: "7. Šā likuma 9. panta trešajā daļā minēto klimata pārmaiņu radīto risku un ievainojamības izvērtējumu Klimata un enerģētikas ministrija pirmo reizi izstrādā līdz 2026. gada 31. 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Ruta Konstante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Klimata un enerģētikas ministrija ir Klimata pārmaiņu finanšu instrumenta budžeta programmas izpildītāja.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priekšlikumu dzēst šo daļu. Pašreiz to nosaka Likuma par Latvijas Republikas dalību Kioto protokola elastīgajos mehānismos 10.panta pirmā daļa, un šeit tas tiek pārņemts. Taču tā kā šī instrumenta darbība ir noslēgusies un likumprojekta Pārejas noteikumu 12.punkts nosaka, ka  Klimata un enerģētikas ministrija līdz 2025. gada 1. septembrim iesniedz Ministru kabinetam informatīvo ziņojumu par Klimata pārmaiņu finanšu instrumenta darbību laikposmā no 2009. gada līdz 2024. gadam, tai skaitā par finanšu izlietojumu, tā atlikumu un samazināto siltumnīcefekta gāzu emisiju apjomu, kas panākts, īstenojot Klimata pārmaiņu finanšu instrumenta projektus, iespējams, nav nepieciešama šī normas pārņemšana (budžetā šī finanšu instrumenta līdzekļi turpmāk netiks plānoti).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Popova (KASE)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Emisijas kvotu izsolīšanas instrumenta finansējumu izmanto, lai mazinātu klimata pārmaiņas un nodrošinātu pielāgošanos klimata pārmaiņām, tai skaitā šādiem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norādīto, ka ar Direktīvu 2003/87/EK nosaka virzienus, kam dalībvalstis var novirzīt emisijas kvotu izsoļu ieņēmumus, un informatīvajā ziņojumā "Par Ministru prezidenta 2024. gada 13. decembra rezolūcijā Nr. 7.8.5./2024-DOC-2324-3705 dotā uzdevuma izpildi" minēto, ka EKII izlietojumam jābūt atbilstošam Direktīvas 2003/87/EK 10. panta 3. punktā noteiktajiem mērķiem, lūdzam papildināt 13.panta pirmo daļu ar atsauci uz šo faktu.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Emisijas kvotu izsolīšanas instrumenta finansējumu izmanto saskaņā ar Direktīvas 2003/87/EK 10. panta 3. punktā noteiktajiem mērķiem, lai mazinātu klimata pārmaiņas un nodrošinātu pielāgošanos klimata pārmaiņām, tai skaitā šādiem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Edvards Cīrulis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veicināt gandrīz nulles enerģijas ēku būvniecību un paaugstināt ēku, tehnoloģisko iekārtu, elektroapgādes un individuālās un centralizētās siltumapgādes un aukstumapgādes sistēmu energoefektivitāti;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pārbaudīt 13.panta pirmās daļas a) un b) punktus, jo tie ir identiski.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Edvards Cīrulis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Eiropas Komisija pieņēmusi lēmumu par finansējuma izmaksu, Modernizācijas fonda finansējumu ieskaita Valsts kasē atvērtajā valsts pamatbudžeta ieņēmumu kontā atbilstoši valsts budžeta ieņēmumu klasifikācijai.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15.panta trešās daļas teikuma sākumu sekojoši: "Pēc tam, kad Eiropas Komisija pieņēmusi......"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Ruta Konstante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nosaka Modernizācijas fonda darbības kārtību un apstiprina Modernizācijas fonda daudzgadu darbības programmu. No Modernizācijas fonda finansējuma investēšanas funkcijām izrietošos valsts pārvaldes uzdevumus Klimata un enerģētikas ministrija var deleģēt privātpersonai vai publiskai personai, kas noteikta vienlaikus ar Modernizācijas fonda daudzgadu darbības programmas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17.panta 1.daļu, jo  Modernizācijas fonda darbības kārtības noteikumi un daudzgadu darbības programma ir jau apstiprināta ar 2023.gada 13.jūlija MK noteikumiem nr.296, kas izdoti saskaņā ar likumu "Par piesārņojumu".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Ruta Konstante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Ministru kabinets līdz 2026. gada 1. janvārim izdod šā likuma 11. panta ceturtajā daļā minētos noteikumus.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nav jāpapildina ar atsauci uz to, kādā termiņā Ministru kabinets izdod likumprojekta 11. panta trešajā daļā minētos noteikumus.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Popova (KASE)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Ministru kabinets līdz 2026. gada 1. janvārim izdod šā likuma 19. pantā minētos noteikumus.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Pārejas noteikumu 13.punktu izteikt šādi: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Ministru kabinets līdz 2026. gada 1. jūlijam izdod šā likuma 19. pantā minētos noteikumus".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Ruta Konstante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joprojām nav izstrādātas vadlīnijas principa “Klimatdrošināšanas” piemērošanai, lūdzam papildināt anotāciju ar informāciju, ka vienotas prakses nodrošināšanai KEM sagatavos vadlīnijas principa “Klimatdrošināšanas” piemērošanai ES fondu ietvaros, t.sk. rūpīgi samērojot prasības klimata politikas īstenošanai ar administratīvo slogu projektu ieviesējiem.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Āboliņa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tās 1.3.sadaļā minētā likumprojekta Grozījumi likumā "Par piesārņojumu" TA lietas numuru (24-TA-1182) un Saeimas numuru. Tāpat lūdzam papildināt anotācijas 4.sadaļu ar saistīto TA projektu - likumprojektu "Grozījumi likumā "Par piesārņojumu"" (24-TA-1182).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Āboliņa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anotācijas 1.3. sadaļā pie likumprojekta 6. panta sestās, septītās un astotās daļas norādītā skaidrojuma, kurš tieši likumprojekts ar norādi, ka darījumos gūtie finanšu līdzekļi tiek izlietoti atbilstoši likumprojekta 34. pantā noteiktajiem mērķiem, ņemot vērā, ka šajā likumprojektā nav 34. panta.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 sadaļā minēto, ka  KPFI projektu rezultātu monitorings notiek 5 gadus pēc projekta beigām un ka ir tikai atsevišķi projekti, kuriem ir pagarināts monitoringa termiņš par 3 gadiem, lūdzam arī anotācijā skaidrot, cik projektiem rezultātu monitorings tiek nodrošināts ar pagarināto termiņu, norādot attiecīgo laika posmu.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sadaļā norādīt aktuālo informāciju attiecībā uz to, ka KEM sagatavos un klimata un enerģētikas ministrs līdz 2024. gada 31. decembrim iesniegs Ministru kabinetam informatīvo ziņojumu  par KPFI darbību laika posmā no 2009. gada līdz 2023. gadam, tai skaitā par finanšu izlietojumu, tā atlikumu un samazināto SEG apjomu, kas panākts, īstenojot Klimata pārmaiņu finanšu instrumenta projektus, ņemot vērā, ka šobrīd ir jau 2025.gada maijs.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2024. gada 22. oktobra noteikumu Nr. 653 "Kārtība, kādā Valsts kase sniedz pakalpojumus valsts pārvaldes vienotā pakalpojumu centra ietvaros, un kārtība un apjoms, kādā valsts budžeta iestādes un budžeta nefinansētas iestādes kārto grāmatvedības uzskaiti Valsts kasē valsts pārvaldes vienotā pakalpojumu centra ietvaros" 56.2. apakšpunktu un 56.4. apakšpunktu, KEM un VARAM Vienotā pakalpojuma centra sniegtos pakalpojumus saņem no 2025. gada 1. janvāra, tai skaitā arī maksājuma funkcijas pakalpojumu, lūdzam pārskatīt anotācijas 1.3. sadaļā norādīto informāciju, ka saskaņā ar  2023. gada 24. februāra “Starpresoru vienošanās par atbalsta funkciju nodrošināšanu” starp VARAM un KEM grāmatvedības pārvaldību KEM nodrošina VARAM, līdz ar ko maksājumu funkciju finansējuma saņēmējiem tiek nodrošināta VARAM.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"Problēmas un risinājumi" norādīta zemsvītras atsauce "[2] Avots: Pašvaldību finanšu rādītāju analīze | Finanšu ministrija (fm.gov.lv)". Ņemot vērā, ka anotācijas 1.3. sadaļā nav atrodama atbilstoša informācija par pašvaldību finanšu rādītāju analīzi, lūdzam svītrot minēto atsauci.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Locāne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sadaļā "Risinājuma apraksts" iekļauto tekstu "Ņemot vērā Ministru kabineta 2024. gada 22. oktobra noteikumu Nr. 653 "Kārtība, kādā Valsts kase sniedz pakalpojumus valsts pārvaldes vienotā pakalpojumu centra ietvaros, un kārtība un apjoms, kādā valsts budžeta iestādes un budžeta nefinansētas iestādes kārto grāmatvedības uzskaiti Valsts kasē valsts pārvaldes vienotā pakalpojumu centra ietvaros" 56.2. apakšpunktu, KEM Vienotā pakalpojuma centra sniegtos pakalpojumus uzsākt saņemt no 2025. gada 1. janvāra, tai skaitā arī maksājuma funkcijas pakalpojumu" šādā redakcijā "[..] , tai skaitā arī maksājumu sagatavošanas funkciju".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2024. gada 22. oktobra noteikumu Nr. 653 "Kārtība, kādā Valsts kase sniedz pakalpojumus valsts pārvaldes vienotā pakalpojumu centra ietvaros, un kārtība un apjoms, kādā valsts budžeta iestādes un budžeta nefinansētas iestādes kārto grāmatvedības uzskaiti Valsts kasē valsts pārvaldes vienotā pakalpojumu centra ietvaros" 56.2. apakšpunktu, KEM Vienotā pakalpojuma centra sniegtos pakalpojumus uzsākt saņemt no 2025. gada 1. janvāra, tai skaitā arī maksājumu sagatavošanas funkciju.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Sirbu (KASE)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25-TA-877</w:t>
    </w:r>
    <w:r>
      <w:br/>
    </w:r>
    <w:r w:rsidR="00000000" w:rsidRPr="00000000" w:rsidDel="00000000">
      <w:rPr>
        <w:rtl w:val="0"/>
      </w:rPr>
      <w:t xml:space="preserve">Izdrukāts 08.05.2025. 17.16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25-TA-877</w:t>
    </w:r>
    <w:r>
      <w:br/>
    </w:r>
    <w:r w:rsidR="00000000" w:rsidRPr="00000000" w:rsidDel="00000000">
      <w:rPr>
        <w:rtl w:val="0"/>
      </w:rPr>
      <w:t xml:space="preserve">Izdrukāts 08.05.2025. 17.16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Atzinumi_25-TA-877.docx</dc:title>
</cp:coreProperties>
</file>

<file path=docProps/custom.xml><?xml version="1.0" encoding="utf-8"?>
<Properties xmlns="http://schemas.openxmlformats.org/officeDocument/2006/custom-properties" xmlns:vt="http://schemas.openxmlformats.org/officeDocument/2006/docPropsVTypes"/>
</file>