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7., 8. un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"7. Gājējiem jāpārvietojas pa ietvi, gājēju ceļu, gājēju un velosipēdu ceļu vai kopīgu gājēju un velosipēdu ceļu, bet, ja to nav, – pa nomali. Ja ietves, gājēju ceļa, gājēju un velosipēdu ceļa, kopīga gājēju un velosipēdu ceļa vai nomales nav vai ja pa to pārvietoties nav iespējams, gājējiem ir atļauts pārvietoties pa brauktuves malu vienā rindā (pa ceļiem, kur ir sadalošā josla, – pa ārmalu). Ja uz ceļa netiek veikti remontdarbi un atļautais braukšanas ātrums nepārsniedz 30 km/h, gājējiem atļauts pārvietoties pa brauktuves malu arī vairāk nekā vienā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8. Pārvietoties pa ietvi, gājēju ceļu, gājēju un velosipēdu ceļu, kopīgu gājēju un velosipēdu ceļu vai nomali, izmantojot skrituļslidas, skrituļdēļus u. tml. inventāru, atļauts, ja tas netraucē citus ceļu satiksmes dalībniekus. Šķērsot brauktuvi ar skrituļslidām, skrituļdēli u. tml.  inventāru atļauts ar ātrumu, kas nepārsniedz gājēju pārvietošanās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9. Gājējiem, kuri iet pa brauktuves malu vai nomali ārpus apdzīvotām vietām, jāpārvietojas pretim transportlīdzekļu braukšanas virzienam. Personām, kuras brauc ratiņkrēslā vai stumj motociklu, mopēdu, velosipēdu u. tml. pa brauktuves malu vai nomali, atļauts pārvietoties pa jebkuru ceļa pusi.".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precizēt projekta 7.punkta saturu, paredzot maksimālo rindu skaitu, kādā gājējiem atļauts pārvietoties pa brauktuves malu.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projekta 8.punkta svītroti vārdi "sporta vai atpūtas", kaut gan projekta anotācijā šāds skaidrojums saglabāts. Ņemot vērā minēto,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nav iekļauts skaidrojums, kādēļ tiek precizēta projekta 9.punktā iekļautā kārtība, kādā turpmāk gājējiem jāpārvietojas pa brauktuves malu vai nomali ārpus apdzīvotām vietām. Lūdzam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Cingele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18.1., 18.2. un 18.3.apakšpunktu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šķērsot</w:t>
            </w:r>
            <w:r w:rsidR="00000000" w:rsidRPr="00000000" w:rsidDel="00000000">
              <w:rPr>
                <w:shd w:fill="#ffffff" w:val="clear"/>
                <w:rtl w:val="0"/>
              </w:rPr>
              <w:t xml:space="preserve"> brauktuvi vietās, kur uzstādīti nožogojumi gājējiem vai ceļu nožogojumi, izņemot vietas, kur ceļa nožogojumos ir speciāli ierīkoti ceļa šķērsošanai paredzēti pārtraukumi;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18.2. šķērsot brauktuvi ārpus gājēju pārejas, ja brauktuvei ir četras vai vairāk braukšanas joslas un ja nav sadalošās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18.3. pārvietoties pa ceļu, kas apzīmēts ar 552. ceļa zīmi;”.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18.3. apakšpunkta redakcija faktiski netiek grozīta, svītrot to no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 (Gatis Švika (IEM)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82.punktu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Braucot atpakaļgaitā, transportlīdzekļa vadītājs nedrīkst traucēt citus ceļu satiksmes dalībniekus. Ja tas nepieciešams ceļu satiksmes drošībai, transport­līdzekļa vadītājam minētā manevra veikšanā jālūdz citu personu palīdzība. Aizliegts braukt atpakaļgaitā pa ceļu, kas</w:t>
            </w:r>
            <w:r w:rsidR="00000000" w:rsidRPr="00000000" w:rsidDel="00000000">
              <w:rPr>
                <w:shd w:fill="#ffffff" w:val="clear"/>
                <w:rtl w:val="0"/>
              </w:rPr>
              <w:t xml:space="preserve"> apzīmēts ar 552. ceļa zīmi.".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82. punkta redakcija faktiski netiek grozīta, svītrot to no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 (Gatis Švika (IEM)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200.1.4.</w:t>
            </w:r>
            <w:r w:rsidR="00000000" w:rsidRPr="00000000" w:rsidDel="00000000">
              <w:rPr>
                <w:vertAlign w:val="superscript"/>
                <w:rtl w:val="0"/>
              </w:rPr>
              <w:t xml:space="preserve"> </w:t>
            </w:r>
            <w:r w:rsidR="00000000" w:rsidRPr="00000000" w:rsidDel="00000000">
              <w:rPr>
                <w:rtl w:val="0"/>
              </w:rPr>
              <w:t xml:space="preserve">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"200.1.4. ja netiek veikti darbi uz ceļa, nav ierobežojumi, kam noteikts darbības laiks un nav dzīvojamā zona, lai brauktu pa braukšanas joslu visā tās platumā uz ceļiem, kur atļautais braukšanas ātrums nepārsniedz 30 km/h.".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saprotama projekta autora piedāvātā redakcija, tādēļ, lūdzam precizēt, kādiem apstākļiem jāpiepildās, lai velosipēda vadītājs varētu braukt pa brauktuvi visā platumā.  Skatīt  Ministru kabineta 2015.gada 2.jūnija noteikumu Nr.279 "Ceļu satiksmes noteikumi" 139.punktu, proti, dzīvojamā zonā, degvielas uzpildes stacijās un stāvvietās gājējiem, velosipēdu un elektroskrejriteņu vadītājiem atļauts pārvietoties pa ietvēm un pa brauktuvi visā tās platumā.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Cingele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"Gājēju drošība" pēdējā rindkopā svītrot vārdus "un kustība pa ceļu, kas apzīmēts ar ātrgaitas ceļa zīmi ", jo Ceļu satiksmes noteikumu 18.3. apakšpunkta redakcija, kas ir ietverta projektā, ir identiska spēkā esošajai.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 (Gatis Švika (IEM)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papildināt projektu ar normām, kas skaidri noteiktu, ka ar velosipēdiem un elektroskrejriteņiem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braukt pa pretējā virziena brauktuvi;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braukt pa velojoslu pretēji kustības virzienam blakus esošajā brauktuvē, izņemot gadījumus, kad velojosla atdalīta no pārējās brauktuves ar 920. vai 925. ceļu apzīmējumu vai ar paaugstinātu apmali un attiecīgais braukšanas virziens ir norādīts ar 937. ceļa apzīmējumu.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 (Gatis Švika (IEM)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"11. Organizētas cilvēku grupas (ekskursijas, gājieni u.c.) drīkst pārvietoties tikai pa ceļa labo pusi transportlīdzekļu braukšanas virzienā grupā ne vairāk par četriem cilvēkiem rindā. Organizētās cilvēku grupas priekšā kreisajā pusē un aizmugurē kreisajā pusē jāatrodas personām speciālā augstas redzamības apģērbā ar gaismu atstarojošiem elementiem, bet diennakts tumšajā laikā un nepietiekamas redzamības apstākļos – papildus arī ar iedegtiem lukturiem: priekšā ar baltas gaismas lukturi, bet aizmugurē ar sarkanas gaismas lukturi.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12. Bērnu grupas drīkst pārvietoties pa ietvēm, gājēju ceļiem, gājēju un velosipēdu ceļiem vai kopīgiem gājēju un velosipēdu ceļiem, bet, ja to nav, –  tikai diennakts gaišajā laikā pa ceļa labās puses nomali transportlīdzekļu braukšanas virzienā kolonnā ne vairāk par diviem bērniem rindā. Bērnu grupas priekšā kreisajā pusē un aizmugurē kreisajā pusē jāatrodas pieaugušajiem speciālā augstas redzamības apģērbā ar atstarojošiem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13. Gājējiem brauktuve jāšķērso pa gājēju pārejām (pazemes vai virszemes), bet, ja to nav, – krustojumos pa ietvju vai nomaļu iedomāto turpinājumu. Ja gājēja redzamības zonā gājēju pārejas vai krustojuma nav, brauktuvi atļauts šķērsot taisnā leņķī attiecībā pret brauktuves malu pārliecinoties, ka netuvojas transportlīdzekļi.".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saprotams projekta 11.punktā ietvertais skaidrojums "(ekskursijas, gājieni u.c.)", jo projekta anotācijā tas arī nav atrunāts. Vienlaikus nav skaidrots, kas ir speciāls augstas redzamības apģērbs. Ievērojot noteikumos lietoto terminoloģiju, aicinām projekta 11. un 12. punktā  aizstāt vārdus "speciālā augstas redzamības apģērbā" ar vārdiem "atstarojošā vestē vai apģērbā ar labi redzamiem gaismu atstarojoša materiāla elementiem", kā arī skaidrot projekta anotācijā 11.punktā ietvertos vārdus "ekskursijas, gājieni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Cingele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shd w:fill="#ffffff" w:val="clear"/>
                <w:rtl w:val="0"/>
              </w:rPr>
              <w:t xml:space="preserve">Papildināt noteikumus ar 179.</w:t>
            </w:r>
            <w:r w:rsidR="00000000" w:rsidRPr="00000000" w:rsidDel="00000000">
              <w:rPr>
                <w:shd w:fill="#ffffff" w:val="clear"/>
                <w:vertAlign w:val="superscript"/>
                <w:rtl w:val="0"/>
              </w:rPr>
              <w:t xml:space="preserve">1 </w:t>
            </w:r>
            <w:r w:rsidR="00000000" w:rsidRPr="00000000" w:rsidDel="00000000">
              <w:rPr>
                <w:shd w:fill="#ffffff" w:val="clea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“179.</w:t>
            </w:r>
            <w:r w:rsidR="00000000" w:rsidRPr="00000000" w:rsidDel="00000000">
              <w:rPr>
                <w:shd w:fill="#ffffff" w:val="clear"/>
                <w:vertAlign w:val="superscript"/>
                <w:rtl w:val="0"/>
              </w:rPr>
              <w:t xml:space="preserve">1</w:t>
            </w:r>
            <w:r w:rsidR="00000000" w:rsidRPr="00000000" w:rsidDel="00000000">
              <w:rPr>
                <w:shd w:fill="#ffffff" w:val="clear"/>
                <w:rtl w:val="0"/>
              </w:rPr>
              <w:t xml:space="preserve">  Automobilim ir atļauts vilkt divas piekabes (puspiekabi un piekabi),  ja ir saņemta attiecīga lielgabarīta un smagsvara pārvadājumu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2.pielikumā minētie lielumi attiecas uz sastāviem ar vienu piekabi, savukārt projekta 9.punktā  tiek noteikts, ka ja saņemta attiecīga lielgabarīta un smagsvara pārvadājumu  atļauja, automobilim ir atļauts vilkt divas piekabes (puspiekabi un piekabi). Lūdzam 2.pielikumā noteikt lielumus sastāviem ar 2 piekabēm.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tiek papildināti ar 179.</w:t>
            </w:r>
            <w:r w:rsidR="00000000" w:rsidRPr="00000000" w:rsidDel="00000000">
              <w:rPr>
                <w:vertAlign w:val="superscript"/>
                <w:rtl w:val="0"/>
              </w:rPr>
              <w:t xml:space="preserve">1</w:t>
            </w:r>
            <w:r w:rsidR="00000000" w:rsidRPr="00000000" w:rsidDel="00000000">
              <w:rPr>
                <w:rtl w:val="0"/>
              </w:rPr>
              <w:t xml:space="preserve"> punktu, vienlaikus jāpapildina noteikumu 180.8.punkts ar atsauci uz 179.1 punktu,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 par vienu piekabi, izņemot šo noteikumu 179. un 179.</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Cingele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"Gājēju drošība"lūdzam precizēt otrās rindkopas tekstu "ir atļauts pārvietoties pa brauktuves malu vienā rindā pārvietoties arī vairāk nekā vienā rindā".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 (Gatis Švika (IEM)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16.06.2023.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16.06.2023.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Atzinumi_22-TA-2915.docx</dc:title>
</cp:coreProperties>
</file>

<file path=docProps/custom.xml><?xml version="1.0" encoding="utf-8"?>
<Properties xmlns="http://schemas.openxmlformats.org/officeDocument/2006/custom-properties" xmlns:vt="http://schemas.openxmlformats.org/officeDocument/2006/docPropsVTypes"/>
</file>