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Ekonomikas ministriju pasākuma mērķa formulējumā vārdu savienojumu "duālas nozīmes" aizstāt ar "duāla pielietojuma" (noteikumu projektā nav veikts precizējums pretēji izziņas 83.punktā norādītajam). Vienlaikus vēršam Ekonomikas ministrijas uzmanību, ka termins "produkts" mārketinga teorijā aptver gan preces, gan pakalpojumus, tāpēc lietojot terminu "produkts", nav atsevišķi jāizdala "pakalpojumi". Aicinām precizēt noteikumu projekta 3.punktu, izdalot (1) vai nu preču, pakalpojumu un tehnoloģiju izstrādi vai minot (2) produktu un tehnoloģiju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finansējuma pieejamības nodrošināšana uzņēmumu duāla </w:t>
            </w:r>
            <w:r w:rsidR="00000000" w:rsidRPr="00000000" w:rsidDel="00000000">
              <w:rPr>
                <w:u w:val="single"/>
                <w:rtl w:val="0"/>
              </w:rPr>
              <w:t xml:space="preserve">pielietojuma</w:t>
            </w:r>
            <w:r w:rsidR="00000000" w:rsidRPr="00000000" w:rsidDel="00000000">
              <w:rPr>
                <w:rtl w:val="0"/>
              </w:rPr>
              <w:t xml:space="preserve"> jaunu</w:t>
            </w:r>
            <w:r w:rsidR="00000000" w:rsidRPr="00000000" w:rsidDel="00000000">
              <w:rPr>
                <w:u w:val="single"/>
                <w:rtl w:val="0"/>
              </w:rPr>
              <w:t xml:space="preserve"> preču</w:t>
            </w:r>
            <w:r w:rsidR="00000000" w:rsidRPr="00000000" w:rsidDel="00000000">
              <w:rPr>
                <w:rtl w:val="0"/>
              </w:rPr>
              <w:t xml:space="preserve">, pakalpojumu un tehnoloģiju izstrādei aizsardzības un drošības jomā, piesaistot ERAF finansējumu un privāto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lai pārbaudītu, vai projekta norādītās attiecināmās izmaksas ir samērīgas un ekonomiski pamatotas.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neizslēgt iespēju sadarbības iestādei zinātnes kvalitātes izvērtēšanai MK noteikumu projekta ietvaros piesaistīt ārvalstu ekspertus (izmantošanai nepieciešamības gadījumā).Vēršam uzmanību, ka, tā kā noteikumu projekta 18.2. apakšpunktā norādītajās Aizsardzības ministrijas funkcijās vērtēšanas komisijā nav paredzēta projektā plānoto darbību izvērtēšana atbilstoši Komisijas Regulas 651/2014 25. panta 2. punktā noteiktajām pētniecības kategorijām (kas norādītas arī noteikumu projekta 21. punktā), Centrālā finanšu un līgumu aģentūra patur tiesības projektu iesniegumu atlases laikā piesaistīt atbilstošas kompetences ekspertu, kas sniegs atzinumu par projektā plānoto darbību un izmaksu piederību noteiktajām pētniecības kategorijām arī gadījumā, ja noteikumu projekta 44. punkts netiks precizēts (aicinām ar šādu informāciju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lai pārbaudītu, vai projekta norādītās attiecināmās izmaksas ir samērīgas un ekonomiski pamatotas, kā arī ekspertus no starptautiskās datu bāzes zinātnes kvalitātes izvērtēšanai (ja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nodrošināt vienotu pieeju zinātniskās kvalitātes aspekta izvērtējumam pētījumu programmās. Vēršam uzmanību, ka Centrālā finanšu un līgumu aģentūra š.g. 2.augustā ir noslēgusi starpresoru vienošanos ar Latvijas Zinātnes padomi par ārvalstu ekspertīzes nodrošināšanu projektu zinātniskās kvalitātes izvērtēšanai. Minētās vienošanās pielikumos ir ietverta zinātniskās kvalitātes aspekta pārbaudes lapas, t.sk. pēc Revīzijas izteiktās rekomendācijas, ekspertiem ietverta prasība par atzinuma sniegšanu par komersanta iesniegtā pētījuma atbilstību tai vai citai pētījumu kategorijai - aicinām šo pārbaudes lapu izmantot arī 1.2.1.1. pasākuma trešajā kārtā, nosakot prasības eksperta atzinuma saturam.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Pasākuma ietvaros pēc projekta īstenošanas atbildīgā iestāde, izmantojot Centrālās statistikas pārvaldes datus, apkopo informāciju par šādiem RIS3 rādītājiem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precizējumi neatbilst panāktajai vienošanās starp Izglītības un zinātnes ministriju, Ekonomikas ministriju, Centrālo finanšu un līgumu aģentūru un vadošo iestādi par RIS3 monitoringa datu vākšanu caur Kohēzijas politikas fondu vadības informācijas sistēmu, kā arī ir atšķirīga no vienotas pieejas, kas iestrādāta citos Eiropas Savienības kohēzijas politikas programmas 2021.-2027. gadam 1.1.1.specifiskā atbalsta mērķa un 1.2.1.specifiskā atbalsta mērķa Ministru kabineta noteikumos. Pieejas maiņa nav saskaņota ne ar vienu no pusēm, turklāt tā nenodrošinās ikgadēju RIS3 monitoringa rādītāju uzkrāšanu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šo jautājumu pārrunāt kopīgā sanāksmē, pieaicinot arī Izglītības un zinātnes ministrijas kolēģus.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57.4.1.1. pētnieki (zinātnieki un citi profesionāļi);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Ekonomikas ministriju pārkārtot noteikumu projekta 57.4.1.1. apakšpunkta 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šo noteikumu 57.4.1.1.1.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pats lūgums arī par 57.4.2.1., 57.5.2.1. apakšpunktiem.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Aizsardzības ministrijas pārstāvja kompetenci vērtēt duālas nozīmes projektu zinātniskās kvalitātes un inovāciju aspektus, aicinām EM anotācijas 1.3.punkta sadaļas II Prasības projekta iesniedzējam un projekta vērtēšanai, kur minēts, ka sadarbības iestāde projektu iesniegumu vērtēšanas komisijā projektu iesniegumu inovācijas aspekta un zinātniskā aspekta vērtēšanai iekļauj Aizsardzības ministrijas pārstāvi, papildināt, to, ka tie būs Aizsardzības tehnoloģiju inovāciju centra speciālisti, aprakstot to līdzšinējo iesaisti un pieredzi ES fondu projektu vērtēšanā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"Publisko atbalstu papildinošo privāto investīciju apjoms" nesakrīt ar noteikuma projektā norādīto. Lūgums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izsekojamībai, anotācijā norādīt arī pārējo pasākuma kārtu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1.2.1.1. pasākuma "Atbalsts jaunu produktu attīstībai un internacionalizācijai" pirmās kārtas īstenošanas noteikumu (Ministru kabineta  23.07.2024. noteikumi Nr. 501) anotācijā norādīto, ka  no Eiropas Savienības 1.2.1.1. pasākuma “Atbalsts jaunu produktu attīstībai un internacionalizācijai” trešās kārtas uz pirmo kārtu tiek pārvirzīts finansējums 500 000 EUR, lai Ekonomikas ministrija kā finansējuma saņēmējs nodrošinātu ekspertīzi 1.2.1.1. pasākuma “Atbalsts jaunu produktu attīstībai un internacionalizācijai” trešās kārtas projektu iesniegumu atlasē sagaidāmajiem pētniecības projektiem, lūdzam papildināt šī noteikumu projekta anotāciju ar norādi, ka gadījumā, ja kādā no pasākuma trešās kārtas norises posmiem nepieciešams piesaistīt ekspertu kādu specifisku jautājumu izvērtēšanā, eksperta piesaistes izmaksas tiek segtas no Ekonomikas ministrijai kā 1.2.1.1. pasākuma “Atbalsts jaunu produktu attīstībai un internacionalizācijai” pirmās kārtas finansējuma saņēmējam piešķirtā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dalība Eiropas Savienības dronu koalīcijā pati par sevi nevar tikt uzskatīta par efektīvu sadarbību pēc noklusējuma. Lai izpildītos Komisijas Regulas 651/2014 25. panta 6. punkta "d" apakšpunkta nosacījumi un tādējādi projektam būtu iespējams piemērot paaugstinātu atbalsta intensitāti, ir jāvērtē konkrēta projekta ietvaros plānotās sadarbības atbilstība Komisijas Regulas 651/2014 2. panta 90. punktā noteiktajai efektīvas sadarbības definīcijai. Ņemot vērā iepriekš minēto, lūdzam dzēst anotācijas 1.3. punkta "Pašreizējā situācija, problēmas un risinājumi" sadaļā "IV Finansējuma saņēmēja izmaksu attiecināmības nosacījumi" iekļauto rindkopu "Pasākuma ietvaros iespējams palielināt finansējuma intensitāti, atbilstoši Noteikumu projekta 38. punktam. Ar Noteikumu projekta 39.1. apakšpunktā minēto efektīvo sadarbību ar vismaz triju dažādu Eiropas Savienības dalībvalstu pārstāvjiem saprotama Eiropas Savienības dronu koalīcija" vai precizēt to, nosakot, ka efektīva sadarbība var tikt veidota, arī īstenojot projektu kopā ar Eiropas Savienības dronu koalīcijas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ietverto informāciju par to, ka </w:t>
            </w:r>
            <w:r w:rsidR="00000000" w:rsidRPr="00000000" w:rsidDel="00000000">
              <w:rPr>
                <w:i w:val="1"/>
                <w:rtl w:val="0"/>
              </w:rPr>
              <w:t xml:space="preserve">"pasākuma ietvaros Komisijas regulas Nr.651/2014 1.panta 4.punkta un 2.panta 18.punkta nosacījumi ir jāpiemēro uzņēmuma grupas līmenī, attiecīgi ar terminu "komersants" tiek saprasts, ka komersants tiek vērtēts uzņēmumu grupas līmenī",</w:t>
            </w:r>
            <w:r w:rsidR="00000000" w:rsidRPr="00000000" w:rsidDel="00000000">
              <w:rPr>
                <w:rtl w:val="0"/>
              </w:rPr>
              <w:t xml:space="preserve"> ietvert arī noteikumu projektā pie attiecīgajiem noteikumu projekta 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un noteikumu projektu arī ar atsauci uz Komisijas 2014.gada 17.jūnija Regulas Nr.651/2014, ar ko noteiktas atbalsta kategorijas atzīst par saderīgām ar iekšējo tirgu, piemērojot Līguma 107. un 108.pantu, 4.panta nosacījumiem, ņemot vērā, ka atbalsta projektam pieļaujamais maksimālais slieksnis arī ir vērtējams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02.09.2024.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02.09.2024.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