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43.1. ja ar pretendentu netiek nodibinātas darba (amata, dienesta) attiecības, tad šo noteikumu </w:t>
            </w:r>
            <w:r w:rsidR="00000000" w:rsidRPr="00000000" w:rsidDel="00000000">
              <w:rPr>
                <w:rtl w:val="0"/>
              </w:rPr>
              <w:t xml:space="preserve">41.1.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minēto personas datu glabāšanas termiņš ir divi mēneši no brīža, kad atlases procesā izvēlētais pretendents nodibina darba (amata, dienesta) attiecības ar iestādi;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izvērtēt, vai 43.1. apakšpunktā nav nepieciešams ilgāks termiņš, ņemot vērā atlases konkursu rezultātu pārsūdzēšanas iespējas.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Signe Bīdermane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23.04.2026.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23.04.2026.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