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545 "Noteikumi par Latvijas būvnormatīvu LBN 202-18 "Būvniecības ieceres dokumentācijas noformēšana""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25. jūnija noteikumos Nr. 280 "Noteikumi par Latvijas būvnormatīvu LBN 002-19 "Ēku norobežojošo konstrukciju siltumtehnika""" (Latvijas Vēstnesis 2019/135.2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pārsvarā izmanto BIM grafiskās programmas (piemēram, Tekla, Revit, ArchiCAD u.c.), līdz ar to DWG vai DGN formāta datņu sagatavošana nav uzskatāma par digitālas grafiskās lapas izdruku, kā tas ir PDF formāta gadījumā. Šo vektordatņu iegūšana notiek ar eksportēšanas funkciju, kas nozīmē papildu darbu projektētājiem un rada risku, ka eksportēšanas procesā var tikt izmainīti arhitektūras vai noformējuma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daļai būvniecības ierosinātāju joprojām nav iespējas atvērt elektroniski parakstītus dokumentus, un rasējumus DWG formātā apskatīt ir vēl grūtāk, kas var radīt neskaidrības un strīdus par būvprojekta faktisko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lielākajai daļai būvvalžu speciālistu, kas strādā Būvniecības informācijas sistēmā, nav tehnisku iespēju atvērt DWG vai DGN formāta datnes, jo šādu licenču būvvaldēm parasti nav, un šie formāti netiek lietoti ikdienas darbā. Tas būtiski apgrūtinātu projektu pārskatīšanu un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PDF formāts būtu jāatstāj kā obligāts grafisko dokumentu iesniegšanai, jo tas nodrošina datu stabilitāti, vienotu noformējumu un ir operatīvāk apstrādājams būvvaldēs. DWG vai DGN formāti var būt kā papildus — specifiskām vajadzībām, piemēram, Valsts zemes dienestam kadastra datu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un dwg. formātā. Ēku stāvu plānus un telpu grupu plānus papildus augšupielādē .dwg formātā. Ja nepieciešams, grafisko datni var dublēt citā formātā. Citas datnes var augšupielādēt būvniecības informācijas sistēmā jebkurā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05.11.2025.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05.11.2025.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Atzinumi_25-TA-1431.docx</dc:title>
</cp:coreProperties>
</file>

<file path=docProps/custom.xml><?xml version="1.0" encoding="utf-8"?>
<Properties xmlns="http://schemas.openxmlformats.org/officeDocument/2006/custom-properties" xmlns:vt="http://schemas.openxmlformats.org/officeDocument/2006/docPropsVTypes"/>
</file>