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"33</w:t>
            </w:r>
            <w:r w:rsidR="00000000" w:rsidRPr="00000000" w:rsidDel="00000000">
              <w:rPr>
                <w:vertAlign w:val="superscript"/>
                <w:rtl w:val="0"/>
              </w:rPr>
              <w:t xml:space="preserve">1</w:t>
            </w:r>
            <w:r w:rsidR="00000000" w:rsidRPr="00000000" w:rsidDel="00000000">
              <w:rPr>
                <w:rtl w:val="0"/>
              </w:rPr>
              <w:t xml:space="preserve">) rūpnieciskie apaļkoki - zāģbaļķi, finierkluči, papīrmalka (apaļkoku vai šķeltā veidā), kā arī citi apaļkoki, kas ir derīgi rūpnieciskai izmantošanai, izņemot apaļkokus, kuru raksturlielumi, piemēram, suga, izmēri, taisnums un zarainums, tos dara nederīgus rūpnieciskai izmantošanai, ko atkarībā no attiecīgajiem meža un tirgus apstākļiem definē un pienācīgi pamato dalībvalstis;".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lūdz ņemt vērā, ka tiešā tekstā rūpniecisko apaļkoku definīcija, kas ietverta Eiropas Parlamenta un Padomes 2023.gada 18.oktobra direktīvas (ES) 2023/2413, ar ko attiecībā uz atjaunīgo energoresursu enerģijas izmantošanas veicināšanu groza Direktīvu (ES) 2018/2001, Regulu (ES) 2018/1999 un Direktīvu 98/70/EK un atceļ Padomes Direktīvu (ES) 2015/652, nav izmantojama nacionālajā tiesiskajā regulējumā. Likumprojekts ir izstrādāts, lai noteiktu tiesisko regulējumu nacionālajā līmenī, līdz ar to noteikumi, kas paredz citas “dalībvalsts” iespēju noteikt izņēmumus Latvijā spēkā esošajam tiesiskajam regulējumam, neatbilst ne juridiskai tehnikai, ne ir salāgojami ar normatīvo aktu hierarhiju un nerada tiesisko noteiktību, līdz ar to šāda definīcija nav izmantojama, lai noteiktu attiecīgā jēdziena būtību un skaidrojumu. Minētā definīcija Likumprojektā rada neskaidrību par to, kas tad tieši ietilpst jēdzienā “rūpnieciskie apaļkoki”, ņemot vērā to, ka Likumprojektā ietvertā definīcija paredz, ka izņēmumi, kas noteic pazīmes, kuru dēļ uz rūpnieciskajiem apaļkokiem neattiecas Enerģētikas likuma 58.</w:t>
            </w:r>
            <w:r w:rsidR="00000000" w:rsidRPr="00000000" w:rsidDel="00000000">
              <w:rPr>
                <w:vertAlign w:val="superscript"/>
                <w:rtl w:val="0"/>
              </w:rPr>
              <w:t xml:space="preserve">11</w:t>
            </w:r>
            <w:r w:rsidR="00000000" w:rsidRPr="00000000" w:rsidDel="00000000">
              <w:rPr>
                <w:rtl w:val="0"/>
              </w:rPr>
              <w:t xml:space="preserve"> panta desmitā daļa, ir jānosaka dalībvalstij.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28.10.2024.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28.10.2024.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