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9. jūnija noteikumos Nr. 374 "Dzelzceļa savstarpējās izmantojamības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14. punktā ietverto iebildumu lūdzam aizpildīt noteikumu projekta anotācijas 5.4. sadaļas A,B,C un D aili ar informāciju par Komisijas 2013. gada 30. aprīļa Īstenošanas Regulas (ES) Nr. 402/2013 par kopīgo drošības metodi riska noteikšanai un novērtēšanai un par Regulas (EK) Nr. 352/2009 atcelšanu prasību ieviešanu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Ritekļu parametru raksturlielumi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26. punktā ietvertās tabulas 13. rindā "Konstrukcijas masa ārkārtējā lietderīgās kravnesības režīmā (kg)" piemērojamībā ritekļu kategorijai "Speciālie ritekļi" atzīmēt ar "Nē", nevis "Jā", nodrošinot atbilstību Komisijas 2011. gada 4. oktobra lēmuma 2011/665/ES par Eiropas apstiprināto dzelzceļa ritekļu tipu reģistru II pielikumā minētajam. Līdzīgi lūdzam 57. rindā "Elektrovilces vienības aprīkotas ar jaudas vai strāvas ierobežošanas funkcijunjā/nē)" piemērojamībā ritekļu kategorijai "Velkamie pasažieru ritekļi" atzīmēt ar "Nē", nevis "Jā", kā arī 59. rindā "Riteklis aprīkots ar elektroenerģijas akumulēšanas sistēmu vilces vajadzībām un ar funkciju uzlādei no gaisvadu kontakttīkla stāvēšanas laikā (jā/nē)" piemērojamībā ritekļu kategorijai "Velkamie pasažieru ritekļi" atzīmēt ar "Nē", nevis "Jā".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vairs neparedz svītrot Ministru kabineta 2020. gada 9. jūnija noteikumu Nr. 374 "Dzelzceļa savstarpējās izmantojamības noteikumi" 100. punktu, lūdzam aktualizēt noteikumu projekta anotācijas 5.4. sadaļas 1. tabulā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r w:rsidR="00000000" w:rsidRPr="00000000" w:rsidDel="00000000">
              <w:rPr>
                <w:vertAlign w:val="superscript"/>
                <w:rtl w:val="0"/>
              </w:rPr>
              <w:t xml:space="preserve">1</w:t>
            </w:r>
            <w:r w:rsidR="00000000" w:rsidRPr="00000000" w:rsidDel="00000000">
              <w:rPr>
                <w:rtl w:val="0"/>
              </w:rPr>
              <w:t xml:space="preserve"> Pirms jaunas stacionārās iekārtas izveides vai ekspluatācijā esošas stacionāras iekārtas atjaunošanas vai modernizācijas pasūtītājs nosaka atļaujas nodot ekspluatācijā stacionāro iekārtu tvērumu (identificē stacionāro iekārtu vai tās daļas, uz kurām attiecināma atļauja nodošanai ekspluatācijā) un plānotos izveides, modernizācijas vai atjaunošanas procesus.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7. punktā ietverto iebildumu lūdzam noteikumu projekta anotācijā (ja tas izriet no noteikumu projekta vai citiem normatīviem tiesību aktiem) vai noteikumu projektā skaidrot, kādā dokumentā nosakāms stacionāro iekārtu tvērums un plānotie izveides, modernizācijas vai atjaunošanas procesi.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23-TA-2402</w:t>
    </w:r>
    <w:r>
      <w:br/>
    </w:r>
    <w:r w:rsidR="00000000" w:rsidRPr="00000000" w:rsidDel="00000000">
      <w:rPr>
        <w:rtl w:val="0"/>
      </w:rPr>
      <w:t xml:space="preserve">Izdrukāts 10.05.2024. 12.52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23-TA-2402</w:t>
    </w:r>
    <w:r>
      <w:br/>
    </w:r>
    <w:r w:rsidR="00000000" w:rsidRPr="00000000" w:rsidDel="00000000">
      <w:rPr>
        <w:rtl w:val="0"/>
      </w:rPr>
      <w:t xml:space="preserve">Izdrukāts 10.05.2024. 12.52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Atzinumi_23-TA-2402.docx</dc:title>
</cp:coreProperties>
</file>

<file path=docProps/custom.xml><?xml version="1.0" encoding="utf-8"?>
<Properties xmlns="http://schemas.openxmlformats.org/officeDocument/2006/custom-properties" xmlns:vt="http://schemas.openxmlformats.org/officeDocument/2006/docPropsVTypes"/>
</file>