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finansēto projektu atklāta konkursa "Atjaunīgo energoresursu izmantošanas veicināšana daudzdzīvokļu ēkās, valsts un pašvaldību ēkās un energokopienās"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iesniedzējs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6.4. apakšpunkts paredz, ka projekta iesniedzējs var būt valsts kapitālsabiedrība vai publiski privātā kapitālsabiedrība, bet nav minētas pašvaldības kapitālsabiedrības, lai gan tās arī nodrošina pašvaldību īpašumu apsaimniekošanu un uzturēšanu. To iekļaušana projektu iesniedzēju lokā sekmētu arī konkursa mērķa sasniegšanu – siltumnīcefekta gāzu emisiju samazināšanu un energoefektivitātes paaugstināšanu pašvaldību ēkās. Vienlaikus noteikumu projekta 1.pielikuma veidlapas 1.1.punktā pašvaldības kapitālsabiedrība ir norādīta kā viens no iespējamiem projekta iesniedzējiem. Attiecīgi </w:t>
            </w:r>
            <w:r w:rsidR="00000000" w:rsidRPr="00000000" w:rsidDel="00000000">
              <w:rPr>
                <w:b w:val="1"/>
                <w:rtl w:val="0"/>
              </w:rPr>
              <w:t xml:space="preserve">lūdzam projektu iesniedzēju lokā iekļaut arī pašvaldību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24-TA-2826</w:t>
    </w:r>
    <w:r>
      <w:br/>
    </w:r>
    <w:r w:rsidR="00000000" w:rsidRPr="00000000" w:rsidDel="00000000">
      <w:rPr>
        <w:rtl w:val="0"/>
      </w:rPr>
      <w:t xml:space="preserve">Izdrukāts 14.10.2025. 13.12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24-TA-2826</w:t>
    </w:r>
    <w:r>
      <w:br/>
    </w:r>
    <w:r w:rsidR="00000000" w:rsidRPr="00000000" w:rsidDel="00000000">
      <w:rPr>
        <w:rtl w:val="0"/>
      </w:rPr>
      <w:t xml:space="preserve">Izdrukāts 14.10.2025. 13.12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Atzinumi_24-TA-2826.docx</dc:title>
</cp:coreProperties>
</file>

<file path=docProps/custom.xml><?xml version="1.0" encoding="utf-8"?>
<Properties xmlns="http://schemas.openxmlformats.org/officeDocument/2006/custom-properties" xmlns:vt="http://schemas.openxmlformats.org/officeDocument/2006/docPropsVTypes"/>
</file>