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22-TA-2912: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finanšu instrumentu kopīgie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finanšu instrumentu kopīgie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pielikumu ar informāciju par elastības finansējumu atbilstoši Eiropas Savienības kohēzijas politikas programmas 2021.-2027.gadam  papildinājumā norādītajam (pieejams tīmekļa vietnē www.esfondi.lv: https://www.esfondi.lv/upload/2021-2027/0_pp_21-27_09.01.2023.xlsx).</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Zvirgzdiņa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Finanšu ministrijas iebildumu, kas ir ietverts izziņas 3.punktā, un lūdzam papildināt noteikumu projektu ar paredzētā atbalsta mērķi. Lūdzam izvērtēt iespēju pārcelt no anotācijas 1.3.sadaļas apakšsadaļā "Risinājuma apraksts" ietverto pirmo rindkopu, papildinot to ar programmas 2. un 6.politikas mērķa ietveros paredzētajiem finanšu instrumentu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5.1. 530 638 155 </w:t>
            </w:r>
            <w:r w:rsidR="00000000" w:rsidRPr="00000000" w:rsidDel="00000000">
              <w:rPr>
                <w:i w:val="1"/>
                <w:rtl w:val="0"/>
              </w:rPr>
              <w:t xml:space="preserve">euro</w:t>
            </w:r>
            <w:r w:rsidR="00000000" w:rsidRPr="00000000" w:rsidDel="00000000">
              <w:rPr>
                <w:rtl w:val="0"/>
              </w:rPr>
              <w:t xml:space="preserve">, ko veido Eiropas Reģionālās attīstības fonda (turpmāk – ERAF) finansējums 451 042 431 </w:t>
            </w:r>
            <w:r w:rsidR="00000000" w:rsidRPr="00000000" w:rsidDel="00000000">
              <w:rPr>
                <w:i w:val="1"/>
                <w:rtl w:val="0"/>
              </w:rPr>
              <w:t xml:space="preserve">euro </w:t>
            </w:r>
            <w:r w:rsidR="00000000" w:rsidRPr="00000000" w:rsidDel="00000000">
              <w:rPr>
                <w:rtl w:val="0"/>
              </w:rPr>
              <w:t xml:space="preserve">apmērā un valsts budžeta līdzfinansējums 79 595 724 </w:t>
            </w:r>
            <w:r w:rsidR="00000000" w:rsidRPr="00000000" w:rsidDel="00000000">
              <w:rPr>
                <w:i w:val="1"/>
                <w:rtl w:val="0"/>
              </w:rPr>
              <w:t xml:space="preserve">euro </w:t>
            </w:r>
            <w:r w:rsidR="00000000" w:rsidRPr="00000000" w:rsidDel="00000000">
              <w:rPr>
                <w:rtl w:val="0"/>
              </w:rPr>
              <w:t xml:space="preserve">apmērā (t.sk., 1.2.3. SAM pasākumos elastības finansējums 36 888 797 </w:t>
            </w:r>
            <w:r w:rsidR="00000000" w:rsidRPr="00000000" w:rsidDel="00000000">
              <w:rPr>
                <w:i w:val="1"/>
                <w:rtl w:val="0"/>
              </w:rPr>
              <w:t xml:space="preserve">euro </w:t>
            </w:r>
            <w:r w:rsidR="00000000" w:rsidRPr="00000000" w:rsidDel="00000000">
              <w:rPr>
                <w:rtl w:val="0"/>
              </w:rPr>
              <w:t xml:space="preserve">apmērā, ko veido ERAF finansējums 31 355 478 </w:t>
            </w:r>
            <w:r w:rsidR="00000000" w:rsidRPr="00000000" w:rsidDel="00000000">
              <w:rPr>
                <w:i w:val="1"/>
                <w:rtl w:val="0"/>
              </w:rPr>
              <w:t xml:space="preserve">euro </w:t>
            </w:r>
            <w:r w:rsidR="00000000" w:rsidRPr="00000000" w:rsidDel="00000000">
              <w:rPr>
                <w:rtl w:val="0"/>
              </w:rPr>
              <w:t xml:space="preserve">un valsts budžeta finansējums 5 533 319 </w:t>
            </w:r>
            <w:r w:rsidR="00000000" w:rsidRPr="00000000" w:rsidDel="00000000">
              <w:rPr>
                <w:i w:val="1"/>
                <w:rtl w:val="0"/>
              </w:rPr>
              <w:t xml:space="preserve">euro</w:t>
            </w:r>
            <w:r w:rsidR="00000000" w:rsidRPr="00000000" w:rsidDel="00000000">
              <w:rPr>
                <w:rtl w:val="0"/>
              </w:rPr>
              <w:t xml:space="preserve">, un 2.1.1. SAM pasākumos elastības finansējums 46 806 275 </w:t>
            </w:r>
            <w:r w:rsidR="00000000" w:rsidRPr="00000000" w:rsidDel="00000000">
              <w:rPr>
                <w:i w:val="1"/>
                <w:rtl w:val="0"/>
              </w:rPr>
              <w:t xml:space="preserve">euro </w:t>
            </w:r>
            <w:r w:rsidR="00000000" w:rsidRPr="00000000" w:rsidDel="00000000">
              <w:rPr>
                <w:rtl w:val="0"/>
              </w:rPr>
              <w:t xml:space="preserve">apmērā, ko veido ERAF finansējums 39 785  334 </w:t>
            </w:r>
            <w:r w:rsidR="00000000" w:rsidRPr="00000000" w:rsidDel="00000000">
              <w:rPr>
                <w:i w:val="1"/>
                <w:rtl w:val="0"/>
              </w:rPr>
              <w:t xml:space="preserve">euro </w:t>
            </w:r>
            <w:r w:rsidR="00000000" w:rsidRPr="00000000" w:rsidDel="00000000">
              <w:rPr>
                <w:rtl w:val="0"/>
              </w:rPr>
              <w:t xml:space="preserve">un valsts budžeta finansējums 7 020 941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Finanšu ministrijas iebildumu, kas ir ietverts izziņas 12.punktā un lūdzam palielināt ERAF elastības finansējuma apmēru par 1 EUR, aizstājot skaitli "31 355 478" ar skaitli "31 355 479" un palielināt arī kopējo elastības finansējuma apmēru, aizstājot skaitli "36 888 797" ar skaitli "36 888 798".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anotācijā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12.punktā Ekonomikas ministrija skaidro, ka Finanšu ministrijas iebildums ir ņemts vērā un, ka ir precizēta reakcija. Vēršam uzmanību, ka finansējuma apmērs netika precizēts.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Līdzdalības fondu rezultāta rādītājs – primārais enerģijas ikgadējais patēriņš (no tā: mājokļi, publiskās ēkas, uzņēmumi, citi) – , kas sasniedzams 2.1.1. SAM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rādītāja nosaukumu: "Gada primārās enerģijas patēriņš (tai skaitā: mājokļi, sabiedriskās ēkas, uzņēmumi, citi)" un sasniedzamās vērtības norādīt Darbības programmā izmantotajā mērvienībā "MWh/gadā". Atbilstošu precizējumu lūdzam veikt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Līdzdalības fondu rezultāta rādītājs – Gada primārās enerģijas patēriņš (tai skaitā: mājokļi, sabiedriskās ēkas, uzņēmumi, citi), kas sasniedzams 2.1.1. SAM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Līdzdalības fondu rezultāta rādītājs – kopējā saražotā atjaunojamā enerģija (t.sk. elektroenerģija, siltumenerģija) – , kas sasniedzams 2.1.4. SAM mērķī: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15.punkta apakšpunktos precizēt rezultāta rādītāja sasniedzamās vērtības mērvienību atbilstoši Darbības programmā noteiktajai - "MWh/gadā". Atbilstošu precizējumu lūdzam veikt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Līdzdalības fondu rezultāta rādītājs – kopējā saražotā atjaunojamā enerģija (t.sk. elektroenerģija, siltumenerģija) – , kas sasniedzams 2.1.4. SAM mērķī: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Rezultāta rādītājs "Kopējā saražotā atjaunojamā enerģija (t.sk. elektroenerģija, siltumenerģija)" Darbības programmā plānots arī 6.1.1. specifiskā atbalsta mērķa ietvaros (2029.gada 31.decembrī sasniedzamā vērtība 7 047 MWh/gadā) un saskaņā ar 6.1.1.SAM rādītāju metodoloģijas aprakstā norādīto, paredzēts 6.1.1.4. SAM pasākumā. Lūdzam atbilstoši papildināt MK noteikumu projektu un anotācijā norādīto informāciju par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Līdzdalības fondu programmas specifiskais iznākuma rādītājs – atjaunojamās enerģijas īpatsvars enerģijas galapatēriņā – , kas sasniedzams 2.1.2. mērķī: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rādītāju, ņemot vērā, ka Darbības programmā tas iekļauts kā rezultāta nevis iznākuma rādītājs un svītrot vārdu "specifiskais". Atbilstošu precizējumu lūdzam veikt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Līdzdalības fondu programmas rezultāta rādītājs – atjaunojamās enerģijas īpatsvars enerģijas galapatēriņā – , kas sasniedzams 2.1.2. mērķī: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Līdzdalības fondu programmas specifiskais iznākuma rādītājs – aplēsto siltumnīcefekta gāzu emisiju ietaupījums – , kas sasniedzams 6.1.1.4. pasākumā līdz 2029. gada 31. decembrim – 3 480 CO</w:t>
            </w:r>
            <w:r w:rsidR="00000000" w:rsidRPr="00000000" w:rsidDel="00000000">
              <w:rPr>
                <w:vertAlign w:val="subscript"/>
                <w:rtl w:val="0"/>
              </w:rPr>
              <w:t xml:space="preserve">2</w:t>
            </w:r>
            <w:r w:rsidR="00000000" w:rsidRPr="00000000" w:rsidDel="00000000">
              <w:rPr>
                <w:rtl w:val="0"/>
              </w:rPr>
              <w:t xml:space="preserve"> emisijas ekvivalenta tonnas/gadā.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rādītāju, ņemot vērā, ka Darbības programmā tas iekļauts kā rezultāta nevis iznākuma rādītājs un svītrot vārdu "specifiskais". Atbilstošu precizējumu lūdzam veikt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Līdzdalības fondu programmas rezultāta rādītājs – aplēsto siltumnīcefekta gāzu emisiju ietaupījums – , kas sasniedzams 6.1.1.4. pasākumā līdz 2029. gada 31. decembrim – 3 480 CO2 emisijas ekvivalenta tonnas/gadā.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Līdzdalības fonda īstenošanas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vēl nav panākta vienošanās par Finanšu regulas 136., 154. un 209.panta piemērošanu attiecībā uz izslēgšanas kritēriju piemērošanu atbalstam, kuru sniedz ar finanšu instrumentiem, un kritēriju piemērošanu finanšu starpniekiem, tad Finanšu ministrija joprojām uztur izziņas 14. un 15.punktā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organizēt sanāksmi, lai vienotos par iespējamo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ieviest īpašo fondu netiešā finanšu instrumentu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vēl nav panākta vienošanās par interešu konflikta apliecinājuma veidlapu, tad Finanšu ministrija joprojām uztur izziņas 22.punktā izteikto 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27.2.1. organizēt fondu pārvaldnieku atlasi atklātā, pārredzamā, nediskriminējošā un konkurenci nodrošinošā procedūrā, izvairoties no interešu konflikta;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sākotnēji normā bija iekļauta atsauce uz publisko iepirkumu regulējuma ievērošanu fondu pārvaldnieku atlases veikšanai, lūdzam sniegt skaidrojumu, pamatojot publisko iepirkumu regulējuma neattiecināšanu attiecībā uz fondu pārvaldnieku atlases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izziņas 33.punktā sniegtais skaidrojums nekādi nepamato to, ka konkrētajā gadījumā fondu pārvaldnieku atlases veikšanai nebūtu saistošs publisko iepirkumu regulējums. Turklāt Regulas Nr. 2021/1060 59.panta 7.punktā minētais attiecas uz gala saņēmēju atlasi, nevis uz fondu pārvaldnieku atlasi.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Sabiedrības Altum līdzdalības fondus un tā finansētos finanšu instrumentus nodala kā atsevišķu finanšu bloku saskaņā ar regulas Nr. 2021/1060 58. panta 6. punktu. Līdzdalības fondos pieejamais ERAF, KF un TPF  finansējums ir nedalīti izmantojams šo noteikumu 2. punktā minēto specifiskā atbalsta mērķos un pasākumos noteikto finanšu instrumentu izsniegšanai, ieguldījumu veikšanai (t.sk. fondu pārvaldnieku pārvaldības maksai riska kapitāla instrumentos), kredītriska zaudējumu segšanai (tiek izmantots sagaidāmo zaudējumu segšanai), līdzdalības fonda pārvaldības maksai un tiešo finanšu instrumentu pārvaldības maksai. Sabiedrībai "Altum" ir tiesības atteikties no turpmākās finanšu instrumentu izsniegšanas, ieguldījumu veikšanas, ja faktiskie un prognozētie zaudējumi pārsniedz pieejamo publisko finansējumu zaudējumu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noteikumu projekta 30.punktu esošajā redakcijā. Vēršam uzmanību, ka ERAF, KF un TPF nav iespējams izmantot nedalīti, proti, katra fonda apjoms ir noteikts programmas pielikumā un finansējuma pārcelšana starp fondiem un politiskiem mērķiem bez programmas grozījumiem nav atbalstāma. Lūdzam precizēt šo normu, lai tā ir nepārprotami skaidra.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sabiedrības Altum līdzdalības fonda  pārvaldības maksa un īpašo fondu, kas tiek ieviests tiešo finanšu instrumentu veidā, pārvaldības maksa atbilstoši Regulas Nr. 2021/1060 68. panta 4. punktā noteiktajām robežvērtībām;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"Pašreizējā situācija, problēmas un risinājumi" sniegt informāciju par Altum pārvaldības maksas apmēra noteikšanas principiem, proti, vai tiek pārņemta ES fondu 2014.-2020.gada plānošanas perioda pieredze un principi.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Sabiedrības Altum līdzdalības fondu pārvaldības maksai un tiešo finanšu instrumentu pārvaldības maksai, kas tiek aprēķināta pamatojoties uz snieguma rezultātiem, piemēro 2% samazinājumu, ja 2029. gada 31. decembrī netiek sasniegti sabiedrībai Altum šo noteikumu 8.  - 15. punktā noteiktie sasniedzamie iznākuma un rezultāta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kāpēc noteikumu projekta 33.punktā nav ietvertas atsauces uz noteikumu projekta 16., 17. un 18.punktu, kur ir noteikti Līdzdalības fondu programmas specifiskie iznākuma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Līdzdalības fondu ietvaros esošo finanšu instrumentu publiskā finansējuma pirmā cikla veidotās atmaksas (t.sk. pamatsummas un ieņēmumu veidotās atmaksas) sabiedrība Altum izmanto atbilstoši Regulas Nr. 2021/1060 62. panta nosacījumiem, ievērojot EK lēmumu par sabiedrības Altum darbību un atbilstoši attiecīgo atbalsta programmu nosacījumiem vai Ministru kabineta lēmumam.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iebildumu, kas iekļauts izziņas 52.punktā, un lūdzam precizēt noteikumu projektu, paredzot, ka horizontālie nosacījumi par sabiedrības Altum tiešo finanšu instrumentu vadības maksas segšanai no atmaksātā finansējuma ir noteikti šajos noteikumos, nevis katrā attiecīgajā komercdarbības atbalsta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Zakovska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Sabiedrības Altum līdzdalības fonda pārvaldības maksu un tiešo finanšu instrumentu pārvaldības maksu, kura netiek ietverta šo noteikumu </w:t>
            </w:r>
            <w:r w:rsidR="00000000" w:rsidRPr="00000000" w:rsidDel="00000000">
              <w:rPr>
                <w:rtl w:val="0"/>
              </w:rPr>
              <w:t xml:space="preserve">32.6.</w:t>
            </w:r>
            <w:r w:rsidR="00000000" w:rsidRPr="00000000" w:rsidDel="00000000">
              <w:rPr>
                <w:rtl w:val="0"/>
              </w:rPr>
              <w:t xml:space="preserve">apakšpunktā minētajās attiecināmajās izmaksās, var segt no atmaksātā finansējuma atbilstoši šo noteikumu </w:t>
            </w:r>
            <w:r w:rsidR="00000000" w:rsidRPr="00000000" w:rsidDel="00000000">
              <w:rPr>
                <w:rtl w:val="0"/>
              </w:rPr>
              <w:t xml:space="preserve">35.</w:t>
            </w:r>
            <w:r w:rsidR="00000000" w:rsidRPr="00000000" w:rsidDel="00000000">
              <w:rPr>
                <w:rtl w:val="0"/>
              </w:rPr>
              <w:t xml:space="preserve">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39. punktu, norādot, ka pārvaldības maksa (tai skaitā no atmaksātā finansējuma) var tikt attiecināta atbilstoši Regulas Nr. 2021/1060 68. panta 4. punktā noteiktajām robežvērtībām.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pirmajā rindkopā norādīto pasākumu uzskaitījumu un analoģiski 1)-7) punktiem, precizēt 8)-12) punktus norādot, vai konkrētajos pasākumos FI tiks ieviests tiešā vai netiešā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Finanšu ministrijas iebildumu, kas ir ietverts izziņas 62.punktā un lūdzam Ekonomikas ministrijas skaidrojumu par valsts budžeta līdzfinansējuma piesaisti nacionālā līdzfinansējuma nodrošināšanai pārcelt uz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informāciju par indikatīvo nolīgumu skaitu un ar pieņēmumiem nolīgumu skaita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Finanšu ministrijas iebildumu, kas ir ietverts izziņas 69.punktā un lūdzam precizēt anotācijas 3.sadaļas 6.punktā sniegto informāciju par pirmo plānoto avansa apmēru. Vēršam uzmanību, ka avanss var tikt piešķirts no pieejamā finansējuma apmēra, proti, no plānotā finansējuma jāatņem elastības finansējums (tas būs pieejams tikai pēc Eiropas Komisijas lēmuma par elastības finansējuma piešķiršanu), līdz ar to, nevar saņemt avansu par finansējumu, kas nav pieejams dalībvalstij.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instrumenti tiek īstenoti šādos Eiropas Savienības kohēzijas politikas programmas 2021.–2027. gadam specifiskā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noteikumu projektā iekļauti Ekonomikas ministrijas kā Eiropas Savienības fondu atbildīgās iestādes pārziņā esošie specifiskie atbalsta mērķi, to pasākumi, kuros ir plānoti finanšu instrumenti.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Zvirgzdiņa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2.1.1.2. pasākumā “AER izmantošana un energoefektivitātes paaugstināšana rūpniecībā un komersantos”;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ES kohēzijas politikas programmā 2021.-2027.gadam (turpmāk – Programma) iekļautajai informācijai, t.sk. atbilstoši Programmā plānotajiem intervences kodiem, finanšu instrumentu piemērošana plānota 2.1.1.1.pasākuma ietvaros – garantijas un aizdevumi. Lūdzam skaidrot 2.1.1.2. un 2.1.1.3.pasākuma iekļaušanu šajos noteikumos, t.sk., vai pie Programmas grozījumiem ir plānots rosināt no Ekonomikas ministrijas puses atbilstošus precizējumus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Zvirgzdiņa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2.1.2. specifiskā atbalsta mērķī “Klimata pārmaiņu mazināšana un pielāgošanās klimata pārmaiņām” (turpmāk – 2.1.2. SAM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2.5.apkašpunktā norādīto 2.1.2.specifiskā atbalsta mērķa nosaukumu uz “Atjaunojamo energoresursu enerģijas veicināšana - biometāns”, lai nodrošinātu atbilstību ES kohēzijas politikas programmai 2021.-2027.gadam.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Zvirgzdiņa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5.1. 530 638 155 </w:t>
            </w:r>
            <w:r w:rsidR="00000000" w:rsidRPr="00000000" w:rsidDel="00000000">
              <w:rPr>
                <w:i w:val="1"/>
                <w:rtl w:val="0"/>
              </w:rPr>
              <w:t xml:space="preserve">euro</w:t>
            </w:r>
            <w:r w:rsidR="00000000" w:rsidRPr="00000000" w:rsidDel="00000000">
              <w:rPr>
                <w:rtl w:val="0"/>
              </w:rPr>
              <w:t xml:space="preserve">, ko veido Eiropas Reģionālās attīstības fonda (turpmāk – ERAF) finansējums 451 042 431 </w:t>
            </w:r>
            <w:r w:rsidR="00000000" w:rsidRPr="00000000" w:rsidDel="00000000">
              <w:rPr>
                <w:i w:val="1"/>
                <w:rtl w:val="0"/>
              </w:rPr>
              <w:t xml:space="preserve">euro </w:t>
            </w:r>
            <w:r w:rsidR="00000000" w:rsidRPr="00000000" w:rsidDel="00000000">
              <w:rPr>
                <w:rtl w:val="0"/>
              </w:rPr>
              <w:t xml:space="preserve">apmērā un valsts budžeta līdzfinansējums 79 595 724 </w:t>
            </w:r>
            <w:r w:rsidR="00000000" w:rsidRPr="00000000" w:rsidDel="00000000">
              <w:rPr>
                <w:i w:val="1"/>
                <w:rtl w:val="0"/>
              </w:rPr>
              <w:t xml:space="preserve">euro </w:t>
            </w:r>
            <w:r w:rsidR="00000000" w:rsidRPr="00000000" w:rsidDel="00000000">
              <w:rPr>
                <w:rtl w:val="0"/>
              </w:rPr>
              <w:t xml:space="preserve">apmērā (t.sk., 1.2.3. SAM pasākumos elastības finansējums 36 888 797 </w:t>
            </w:r>
            <w:r w:rsidR="00000000" w:rsidRPr="00000000" w:rsidDel="00000000">
              <w:rPr>
                <w:i w:val="1"/>
                <w:rtl w:val="0"/>
              </w:rPr>
              <w:t xml:space="preserve">euro </w:t>
            </w:r>
            <w:r w:rsidR="00000000" w:rsidRPr="00000000" w:rsidDel="00000000">
              <w:rPr>
                <w:rtl w:val="0"/>
              </w:rPr>
              <w:t xml:space="preserve">apmērā, ko veido ERAF finansējums 31 355 478 </w:t>
            </w:r>
            <w:r w:rsidR="00000000" w:rsidRPr="00000000" w:rsidDel="00000000">
              <w:rPr>
                <w:i w:val="1"/>
                <w:rtl w:val="0"/>
              </w:rPr>
              <w:t xml:space="preserve">euro </w:t>
            </w:r>
            <w:r w:rsidR="00000000" w:rsidRPr="00000000" w:rsidDel="00000000">
              <w:rPr>
                <w:rtl w:val="0"/>
              </w:rPr>
              <w:t xml:space="preserve">un valsts budžeta finansējums 5 533 319 </w:t>
            </w:r>
            <w:r w:rsidR="00000000" w:rsidRPr="00000000" w:rsidDel="00000000">
              <w:rPr>
                <w:i w:val="1"/>
                <w:rtl w:val="0"/>
              </w:rPr>
              <w:t xml:space="preserve">euro</w:t>
            </w:r>
            <w:r w:rsidR="00000000" w:rsidRPr="00000000" w:rsidDel="00000000">
              <w:rPr>
                <w:rtl w:val="0"/>
              </w:rPr>
              <w:t xml:space="preserve">, un 2.1.1. SAM pasākumos elastības finansējums 46 806 275 </w:t>
            </w:r>
            <w:r w:rsidR="00000000" w:rsidRPr="00000000" w:rsidDel="00000000">
              <w:rPr>
                <w:i w:val="1"/>
                <w:rtl w:val="0"/>
              </w:rPr>
              <w:t xml:space="preserve">euro </w:t>
            </w:r>
            <w:r w:rsidR="00000000" w:rsidRPr="00000000" w:rsidDel="00000000">
              <w:rPr>
                <w:rtl w:val="0"/>
              </w:rPr>
              <w:t xml:space="preserve">apmērā, ko veido ERAF finansējums 39 785  334 </w:t>
            </w:r>
            <w:r w:rsidR="00000000" w:rsidRPr="00000000" w:rsidDel="00000000">
              <w:rPr>
                <w:i w:val="1"/>
                <w:rtl w:val="0"/>
              </w:rPr>
              <w:t xml:space="preserve">euro </w:t>
            </w:r>
            <w:r w:rsidR="00000000" w:rsidRPr="00000000" w:rsidDel="00000000">
              <w:rPr>
                <w:rtl w:val="0"/>
              </w:rPr>
              <w:t xml:space="preserve">un valsts budžeta finansējums 7 020 941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5.1.apakšpunktā norādīto finansējumu, ņemot vērā, ka, saskaitot kopā 2.1.1.1., 2.1.1.2. un 2.1.1.3.pasākumu, finansējums neatbilst.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izmantot elastības finansējumu, kas norādīts aktuālajā publicētajā ES kohēzijas politikas programmas 2021.-2027.gadam papildinājumā (pieejams tīmekļa vietnē: https://www.esfondi.lv/upload/2021-2027/0_pp_21-27_09.01.2023.xlsx).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informācijas skaidrai un nepārprotamai izsekojamībai lūdzam norādīt konkrētus 2.1.1.SAM pasākumus, lai nemaldinātu trešās puses, ka norādīts viss 2.1.1.SAM (visu pasākumu)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Zvirgzdiņa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Līdzdalības fondu programmas specifiskais iznākuma rādītājs – mājokļi ar uzlabotu energoefektivitāti, kuros dzīvo enerģētikas nabadzības riskam pakļautas personas – , kas sasniedzams 2.1.1.1. pasākumā: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apakšpunktu, svītrojot tajā vārdu "specifiskais", atbilstošu precizējumu veicot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Līdzdalības fondu programmas iznākuma rādītājs – mājokļi ar uzlabotu energoefektivitāti, kuros dzīvo enerģētikas nabadzības riskam pakļautas personas – , kas sasniedzams 2.1.1.1. pasākumā: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Atbildīgā iestāde 10 darbdienu laikā pēc precizētā biznesa plāna saņemšanas to izskata un, ja tas atbilst šo noteikumu </w:t>
            </w:r>
            <w:r w:rsidR="00000000" w:rsidRPr="00000000" w:rsidDel="00000000">
              <w:rPr>
                <w:rtl w:val="0"/>
              </w:rPr>
              <w:t xml:space="preserve">22.</w:t>
            </w:r>
            <w:r w:rsidR="00000000" w:rsidRPr="00000000" w:rsidDel="00000000">
              <w:rPr>
                <w:rtl w:val="0"/>
              </w:rPr>
              <w:t xml:space="preserve">punktā minētajiem nosacījumiem, pieņem lēmumu par sabiedrības Altum biznesa  plāna apstiprināšanu un minēto lēmumu kopā ar sabiedrības Altum biznesa plānu nosūta sadarbības iestādei.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24.punktu, norādot, kura institūcija ir sadarbības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Zvirgzdiņa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Finansēšanas nolīgumi tiek slēgti par līdzdalības fondiem plānoto kopējo finansējumu un gadījumā, ja elastības finansējums vai tā daļa netiks piešķirta pēc vidusposma izvērtējuma un Eiropas Komisijas lēmuma par elastības finansējuma galīgo piešķīrumu, tad par attiecīgo finansējuma apmēru tiks samazināts finansēšanas nolīgumā paredzētais līdzdalības fondam plānotais finansējums, kā arī tiks attiecīgi samazināti līdzdalības fondiem noteiktie rezultatīvie, iznākuma rādītāji un programmas specifiskie iznākuma rādītāji. Līdz vidusposma izvērtējumam un Eiropas Komisijas lēmuma par elastības finansējuma galīgo piešķīrumu sabiedrība Altum var izmantot tikai līdzdalības fondiem šo noteikumu 6. punktā noteikto pieejamo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pirmā teikuma noslēguma daļu "[..] kā arī tiks attiecīgi samazināti līdzdalības fondiem noteiktie rezultatīvie, iznākuma rādītāji un programmas specifiskie iznākuma rādītāji." šādā redakcijā: "[..] kā arī tiks attiecīgi samazināti līdzdalības fondiem noteiktie </w:t>
            </w:r>
            <w:r w:rsidR="00000000" w:rsidRPr="00000000" w:rsidDel="00000000">
              <w:rPr>
                <w:b w:val="1"/>
                <w:rtl w:val="0"/>
              </w:rPr>
              <w:t xml:space="preserve">iznākuma un rezultāta rādītāji</w:t>
            </w:r>
            <w:r w:rsidR="00000000" w:rsidRPr="00000000" w:rsidDel="00000000">
              <w:rPr>
                <w:rtl w:val="0"/>
              </w:rPr>
              <w:t xml:space="preserve">." Atbilstošu precizējumu lūdzam veikt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Finansēšanas nolīgumi tiek slēgti par līdzdalības fondiem plānoto kopējo finansējumu un gadījumā, ja elastības finansējums vai tā daļa netiks piešķirta pēc vidusposma izvērtējuma un Eiropas Komisijas lēmuma par elastības finansējuma galīgo piešķīrumu, tad par attiecīgo finansējuma apmēru tiks samazināts finansēšanas nolīgumā paredzētais līdzdalības fondam plānotais finansējums, kā arī tiks attiecīgi samazināti līdzdalības fondiem noteiktie </w:t>
            </w:r>
            <w:r w:rsidR="00000000" w:rsidRPr="00000000" w:rsidDel="00000000">
              <w:rPr>
                <w:b w:val="1"/>
                <w:rtl w:val="0"/>
              </w:rPr>
              <w:t xml:space="preserve">iznākuma un rezultāta</w:t>
            </w:r>
            <w:r w:rsidR="00000000" w:rsidRPr="00000000" w:rsidDel="00000000">
              <w:rPr>
                <w:rtl w:val="0"/>
              </w:rPr>
              <w:t xml:space="preserve"> rādītāji. Līdz vidusposma izvērtējumam un Eiropas Komisijas lēmuma par elastības finansējuma galīgo piešķīrumu sabiedrība Altum var izmantot tikai līdzdalības fondiem šo noteikumu 6. punktā noteikto pieejamo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projekta anotācijā sniegt izvērstāku skaidrojumu par noteikumu projekta 7. punktā minēto akciju sabiedrības "Attīstības finanšu institūcija Altum" finansējumu, kā arī fondu pārvaldnieku piesaistītajiem finanšu līdzekļiem. Izziņā norādīts, ka anotācija ir papildināta, tomēr anotācijā atbilstoša informācija nav sniegta.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"„Noteikumi par finanšu instrumentu īstenošanas kārtību Eiropas Savienības kohēzijas politikas programmas 2021.–2027. gadam 1.2.1. specifiskā atbalsta mērķa “Pētniecības un inovāciju kapacitātes stiprināšana un progresīvu tehnoloģiju ieviešana uzņēmumiem”, 1.2.2. specifiskā atbalsta mērķa “Izmantot digitalizācijas priekšrocības uzņēmējdarbības attīstībai” un 1.2.3. specifiskā atbalsta mērķa “Veicināt ilgtspējīgu izaugsmi, konkurētspēju un darba vietu radīšanu MVU, tai skaitā ar produktīvām investīcijām”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virsrakstu atbilstoši noteikumu projekta virsrakstam.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22-TA-2912</w:t>
    </w:r>
    <w:r>
      <w:br/>
    </w:r>
    <w:r w:rsidR="00000000" w:rsidRPr="00000000" w:rsidDel="00000000">
      <w:rPr>
        <w:rtl w:val="0"/>
      </w:rPr>
      <w:t xml:space="preserve">Izdrukāts 09.02.2023. 21.08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22-TA-2912</w:t>
    </w:r>
    <w:r>
      <w:br/>
    </w:r>
    <w:r w:rsidR="00000000" w:rsidRPr="00000000" w:rsidDel="00000000">
      <w:rPr>
        <w:rtl w:val="0"/>
      </w:rPr>
      <w:t xml:space="preserve">Izdrukāts 09.02.2023. 21.08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Atzinumi_22-TA-2912.docx</dc:title>
</cp:coreProperties>
</file>

<file path=docProps/custom.xml><?xml version="1.0" encoding="utf-8"?>
<Properties xmlns="http://schemas.openxmlformats.org/officeDocument/2006/custom-properties" xmlns:vt="http://schemas.openxmlformats.org/officeDocument/2006/docPropsVTypes"/>
</file>