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probācijas dienests veic audzinoša rakstura piespiedu līdzekļa – probācijas novērošana –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probācijas klients atkārtoti bez attaisnojoša iemesla nepilda probācijas novērošanas izpildi reglamentējošā likumā paredzētos vai Dienesta noteiktos pienākumus un starpinstitūciju sadarbības sanāksmē tiek pieņemts lēmums par nepieciešamību vērsties tiesā ar lūgumu par probācijas novērošanas termiņa pagarināšanu vai par piespriestā kriminālsoda izpildi, ja tiesa saskaņā ar </w:t>
            </w:r>
            <w:r w:rsidR="00000000" w:rsidRPr="00000000" w:rsidDel="00000000">
              <w:rPr>
                <w:rtl w:val="0"/>
              </w:rPr>
              <w:t xml:space="preserve">Krimināllikuma</w:t>
            </w:r>
            <w:r w:rsidR="00000000" w:rsidRPr="00000000" w:rsidDel="00000000">
              <w:rPr>
                <w:rtl w:val="0"/>
              </w:rPr>
              <w:t xml:space="preserve"> </w:t>
            </w:r>
            <w:r w:rsidR="00000000" w:rsidRPr="00000000" w:rsidDel="00000000">
              <w:rPr>
                <w:rtl w:val="0"/>
              </w:rPr>
              <w:t xml:space="preserve">66.</w:t>
            </w:r>
            <w:r w:rsidR="00000000" w:rsidRPr="00000000" w:rsidDel="00000000">
              <w:rPr>
                <w:rtl w:val="0"/>
              </w:rPr>
              <w:t xml:space="preserve"> panta pirmās daļas nosacījumiem ir atbrīvojusi probācijas klientu no piespriestā soda, piemērojot audzinoša rakstura piespiedu līdzekli – probācijas novērošana, amatpersona 15 darba dienu laikā iesniedz tiesai priekšlikumu vai iesniegumu, kurā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90.punkta redakciju, nosakot rīcību gadījumos, ja bērns atkārtoti nepilda audzinoša rakstura piespiedu līdzekļa – probācijas novērošana – izpildi un līdzekļa piemērošanas termiņa pagarināšana nav lietderīga, bet tiesas lēmums nav virzīts saskaņā ar Krimināllikuma 66.panta pirmās daļas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Treimane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Noslēguma jautājums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VI.nodaļas "Noslēguma jautājums" papildināšanu ar jaunu punktu, kas nosaka, ka Valsts probācijas dienests 2023.gadā nepieciešamības gadījumā sniegs daļēju atbalstu, t.sk. pakalpojumus, kas nepieciešami bērnu sociālās uzvedības korekcijai un sociālajai rehabilitācijai, pašvaldībām darbam ar bērniem, kuriem sociālās korekcijas izglītības iestādes “Naukšēni” pastāvēšanas gadījumā būtu turpinājies audzinoša rakstura piespiedu līdzeklis – ievietošana sociālās korekcijas izglītības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Treimane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22-TA-2552</w:t>
    </w:r>
    <w:r>
      <w:br/>
    </w:r>
    <w:r w:rsidR="00000000" w:rsidRPr="00000000" w:rsidDel="00000000">
      <w:rPr>
        <w:rtl w:val="0"/>
      </w:rPr>
      <w:t xml:space="preserve">Izdrukāts 22.11.2022.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22-TA-2552</w:t>
    </w:r>
    <w:r>
      <w:br/>
    </w:r>
    <w:r w:rsidR="00000000" w:rsidRPr="00000000" w:rsidDel="00000000">
      <w:rPr>
        <w:rtl w:val="0"/>
      </w:rPr>
      <w:t xml:space="preserve">Izdrukāts 22.11.2022.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Atzinumi_22-TA-2552.docx</dc:title>
</cp:coreProperties>
</file>

<file path=docProps/custom.xml><?xml version="1.0" encoding="utf-8"?>
<Properties xmlns="http://schemas.openxmlformats.org/officeDocument/2006/custom-properties" xmlns:vt="http://schemas.openxmlformats.org/officeDocument/2006/docPropsVTypes"/>
</file>