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septembra noteikumos Nr. 899 "Likuma "Par iedzīvotāju ienākuma nodokli" normu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Grāmatvežu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viedoklim, tā kā nav skaidra pamatojuma,  t.i., tieši  kāpēc šis regulējums nav attiecināms uz hibrīdauto, ja arī šis transports izmanto elektrību lielāko daļu no kopējā degvielas patēriņa? Nacionālā enerģētikas un klimata plānā 2021.–2030. gadam teikts, ka plāns attiecināms  uz elektrotransportlīdzekļu uzlādi, nenorādot izņēmumus, tātad uz  visiem auto, kas tiek lādēti ar elektrību.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Vides investīciju fonds sniedz atbalstu komersantiem, kas ir noslēguši līgumus par bezemisiju un mazemisiju transportlīdzekļu iegādi, uzskaitot transportlīdzekļu markas un šajā sarakstā uzskaitītas arī hibrīdauto,  sk.saiti : https://ekii.lv/index.php?page=auto-iegade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nav saprotams, kāpēc pēc vieniem noteikumiem (Nr. 896 “Emisijas kvotu izsolīšanas instrumenta finansēto projektu atklāta konkursa “Siltumnīcefekta gāzu emisijas samazināšana transporta sektorā – atbalsts bezemisiju un mazemisiju transportlīdzekļu iegādei”, kas izdoti saskaņā ar likumu “Par piesārņojumu”)  hibrīdauto tiek dots valsts atbalsts, bet šajos  noteikumos - nē. Mūsuprāt pieejai jābūt vienādai.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pērk hibrīdauto lai kā degvielu lietotu elektrību, kas izmaksu ziņā ir izdevīgāk nekā benzīns vai dīzeļdegviela. Benzīns/dīzeļdegviela tiek izmantoti tikai kā  garants gadījumam, lai nokļūtu galapunktā, ja gadījumā pa ceļam nav iespējas uzlādēt, jo uzlādes stacijas Latvijā nav visur pieejamas. Uzskatam, ka normatīvais regulējums jāattiecina arī uz  hibrīdauto,  jo gan elektromobilis, gan hibrīdauto izmanto elektrību, kas ir atbalstāmi saskaņā ar ietekmi uz klimatu, jo samazina piesārņojumu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noteikumu apakšpunktu 18.</w:t>
            </w:r>
            <w:r w:rsidR="00000000" w:rsidRPr="00000000" w:rsidDel="00000000">
              <w:rPr>
                <w:b w:val="1"/>
                <w:vertAlign w:val="superscript"/>
                <w:rtl w:val="0"/>
              </w:rPr>
              <w:t xml:space="preserve">2</w:t>
            </w:r>
            <w:r w:rsidR="00000000" w:rsidRPr="00000000" w:rsidDel="00000000">
              <w:rPr>
                <w:b w:val="1"/>
                <w:rtl w:val="0"/>
              </w:rPr>
              <w:t xml:space="preserve">12.2. nepiekrītam viedoklim , jo priekšlikumā nebija izteikts apgalvojums kompensēt izdevumus citai personai.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kompensēt izdevumus darbiniekam, ja tas veicis elektroenerģijas uzlādi savā dzīvesvietā darba devēja piederošam transportlīdzeklim tādā gadījumā, ja tas ir nodrošinājis atsevišķu  skaitītāju  uzstādīšanu  elektroenerģijas uzlādei, bet tieši viņš nav noslēdzis līgumu ar elektroenerģijas piegādātāju, bet to ir noslēdzis kāds no viņa  ģimenes locekļiem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vai līgums noslēgts uz darbinieka vārda, vai kāda no ģimenes locekļiem, darbinieks par šo patērēto elektrību maksās no ģimenes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jāattiecina gan uz  hibrīdauto,  gan elektromobili.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punktu 18.</w:t>
            </w:r>
            <w:r w:rsidR="00000000" w:rsidRPr="00000000" w:rsidDel="00000000">
              <w:rPr>
                <w:vertAlign w:val="superscript"/>
                <w:rtl w:val="0"/>
              </w:rPr>
              <w:t xml:space="preserve">2</w:t>
            </w:r>
            <w:r w:rsidR="00000000" w:rsidRPr="00000000" w:rsidDel="00000000">
              <w:rPr>
                <w:rtl w:val="0"/>
              </w:rPr>
              <w:t xml:space="preserve">12.2. līgums ar elektroenerģijas piegādātāju darbinieka dzīvesvietā ir noslēgts starp darbinieku un elektroenerģijas piegādātāju;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Ņina Vasiļevska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05.10.2025.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05.10.2025.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Atzinumi_25-TA-527.docx</dc:title>
</cp:coreProperties>
</file>

<file path=docProps/custom.xml><?xml version="1.0" encoding="utf-8"?>
<Properties xmlns="http://schemas.openxmlformats.org/officeDocument/2006/custom-properties" xmlns:vt="http://schemas.openxmlformats.org/officeDocument/2006/docPropsVTypes"/>
</file>