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iepriekšējā atzinumā izteikto priekšlikumu: 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kā arī Satiksmes ministrijas izstrādātais un TAP virzītais instrukcijas projekts "Instrukcija par valsts kapitāla daļu turētāju sadarbību Rīgas ostas un Ventspils ostas pārvalžu valsts kapitāla daļu pārvaldīšanā" (22-TA-2306) ir zemāka spēka attiecībā pret likumu, lūdzam augstāka spēka normatīvajā aktā - speciālajā regulējumā, proti, Ostu likumā noteikt kapitālsabiedrību – AS “Rīgas osta” un AS “Ventspils osta” pārvaldības kārtību un attiecīgi papildināt likumprojektu "Grozījumi Ostu likumā", nosakot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05.07.2023. 21.41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05.07.2023. 21.41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