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š.g. 18. jūnija Ministru kabineta lēmumu par vidēja termiņa budžeta prioritārajiem attīstības virzieniem likumprojekta “Par valsts budžetu 2025. gadam un budžeta ietvaru 2025., 2026. un 2027. gadam” sagatavošanā kā vienīgo vidēja termiņa budžeta prioritāro attīstības virzienu noteikt valsts drošību un š.g. 27.augusta Ministru kabineta lēmumu par valsts pārvaldes izdevumu samazināšanu, lūdzam pārcelt plāna projekta 3.pasākuma darbības rezultāta Nr. 3.6. izpildes termiņu uz 2026.gada 4.ceturksni un plāna pasākumu darbības rezultātu Nr.1.2., 3.6. un 3.11 izpildei paredzēto Kultūras ministrijas nepieciešamo papildu finansējumu uz laika posmu no 2026.gada, ņemot vērā, ka 2025.gadā valsts budžeta līdzekļi šo uzdevumu īstenošanai nebūs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Turlaja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plašsaziņas līdzeklis un medijs ir sinonīmi, lūdzam plāna projekta 3.11. punktā lietot vienu no jēdzieniem.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Kristers Pļešakovs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19.09.2024.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19.09.2024.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