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programmas 1.1.1. specifiskā atbalsta mērķa “Pētniecības un inovāciju kapacitātes stiprināšana un progresīvu tehnoloģiju ieviešana kopējā P&amp;A sistēmā” 1.1.1.1. pasākumu “Zinātnes politikas ieviešana, vadība un kapacitātes stiprināšana”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apakšpunktu, norādot pilno Eiropas Savienības kohēzijas politikas programmas 2021.–2027. gadam nosaukumu un pēc nepieciešamības atrunājot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 un nacionālā līdzfinansējuma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kopējais attiecināmais finansējums ir 13 616 945 euro (tajā skaitā elastības finansējuma apjoms 2 147 736 euro), tai skaitā Eiropas Reģionālā attīstības fonda (turpmāk – ERAF) finansējums 11 574 403 euro (tajā skaitā elastības finansējuma apjoms 1 825 576 euro) un valsts budžeta finansējums – 2 042 542 euro (tajā skaitā elastības finansējuma apjoms 322 160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IZM, atbilstoši piedāvātajām izmaiņām finansējuma sadalījumā starp 1.1.1.1. un 1.1.1.5.pasākumu, iesūtīt atbilstošus precizējumus DPP, lai gūtu pārliecību, ka piedāvātās izmaiņas ir atbalstāmas (t.sk. izmaiņas intervences kodos).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precizēt vārdus "Pasākumam plānotais kopējais attiecināmais" ar vārdiem "Pasākuma ietvaros plānotais kopējais", kā arī vārdus "valsts budžeta finansējums" ar vārdiem "valsts budžeta līdzfinansējums" (lūdzam atbilstošu precizējumu veikt arī MKN projekta 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iesniegumā pasākuma īstenošanai kopējo pieejamo finansējumu plāno ne vairāk kā 11 469 209 euro apmērā, tai skaitā ERAF finansējumu – 9 748 828 euro apmērā un valsts budžeta finansējumu – 1 720 381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ERAF finansējumu, kas nepārsniedz 85% jeb  9 748 827 euro, attiecīgi precizējot valsts budžeta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Atbildīgā iestāde pēc Eiropas Komisijas lēmuma par vidusposma pārskatu var ierosināt palielināt pasākumam pieejamo kopējo attiecināmo finansējumu līdz šo noteikumu </w:t>
            </w:r>
            <w:r w:rsidR="00000000" w:rsidRPr="00000000" w:rsidDel="00000000">
              <w:rPr>
                <w:rtl w:val="0"/>
              </w:rPr>
              <w:t xml:space="preserve">4.</w:t>
            </w:r>
            <w:r w:rsidR="00000000" w:rsidRPr="00000000" w:rsidDel="00000000">
              <w:rPr>
                <w:rtl w:val="0"/>
              </w:rPr>
              <w:t xml:space="preserve">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4. punktā minētajam plānotajam kopējam finansējuma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pārcelt 7.punktu 4.punkta redakcijas beigās, precizējot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ERAF finansējuma apmērs nepārsniedz 85 %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visi 9.punktā norādītie nacionālie rādītāji ir uzkrājami Kohēzijas politikas fondu vadības informācijas sistēmā (turpmāk- KPVIS). Ja šo informāciju nav plānots uzkrāt KPVIS rādītāju sadaļā, bet gan finansējuma saņēmējs saskaņā ar noteikumu projekta 28.punktu iesniedz ziņojumu uzraudzības padomei par nacionālo rādītāju sasniegtajām vērtībām, neziņojot datus KPVIS, lūgums to definēt kā papildus uzkrājamo informāciju nevis kā nacionālos rādītājus, ņemot vērā to, ka šīs informācijas uzkrāšana atšķiras no nacionālo rādītāju uzkrāšanas kārtības. Šādā gadījumā ierosinām to norādīt pie noteikumu projekta 28.punkta.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9.punktā norādīto ir plānots uzkrāt KPVIS, lūgums norādīt konkrētus un skaidrus nacionālo rādītāju nosaukumus, nepieciešamības gadījumā, norādot izvērstāku paskaidrojumu noteikumu projekta anotācijā, kā arī skaidri norādīt rādītāju sasniedzamās vērtības. Vēršam uzmanību, ka nacionālie rādītāji KPVIS sākotnēji būs jāievada 1.1.1.1. pasākuma virsprojekta līmenī, lai pēc tam informācija par nacionālo rādītāju tiktu atspoguļota arī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atbildīgās iestādes funkcijas pilda Izglītības un zinātnes ministrija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 pilda gan atbildīgās iestādes funkciju, gan finansējuma saņēmēja funkciju, lūdzam anotācijā skaidrot, kā tiks nodrošināta šo funkciju nodalīšana.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MKN projekts paredz sadarbības partneru iesaisti projekta īstenošanā, tad MKN projektā ir jāiekļauj finansējuma saņēmēja un sadarbības partnera sadarbības nosacījumi, pienākumi un tiesības, projekta mērķu un rādītāju savstarpējais sasniegšanas dalījums. Arī gadījumā, ja MKN projektā ir noteikts, ka tiks slēgts sadarbības līgums, MKN projektā ir jāatrunā tā galvenie aspekti (atbildība, funkcijas, utt.). Vēršam uzmanību, ka MKN projektā nedublē Ministru kabineta noteikumu projektā "Kārtība, kādā Eiropas Savienības fondu vadībā iesaistītās institūcijas nodrošina šo fondu ieviešanu 2021.–2027.gada plānošanas periodā" (22-TA-2143) ietverto regulējumu, tostarp 6. punktā ietvertos nosacījumus par sadarbības līgumā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projektu īsteno sadarbībā ar Latvijas Zinātnes padomi. Finansējuma saņēmējs sadarbības partneri iesaista šo noteikumu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minētās atbalstāmās darbības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20.punktā norādīto, lūdzu papildināt ar informāciju, ka sadarbības līgums tiks slēgts pirms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Minētais plāns tiek īstenots līdz projekta noslēgumam.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paskaidrojumu, kādu informāciju ir jāietver rīcības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Latvijas zinātnes stratēģiskās komunikācijas īstenošana, tajā skaitā, bet ne tikai informācijas un komunikācijas platformas </w:t>
            </w:r>
            <w:r w:rsidR="00000000" w:rsidRPr="00000000" w:rsidDel="00000000">
              <w:rPr>
                <w:rtl w:val="0"/>
              </w:rPr>
              <w:t xml:space="preserve">https://researchLatvia.gov.lv</w:t>
            </w:r>
            <w:r w:rsidR="00000000" w:rsidRPr="00000000" w:rsidDel="00000000">
              <w:rPr>
                <w:rtl w:val="0"/>
              </w:rPr>
              <w:t xml:space="preserve"> attīstīšana un funkcionalitātes paplašināšana, sadarbības ar diasporu stiprināšana un Pasaules Latviešu zinātnieku kongresa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atbalstāmo darbību vai izveidot jaunu atbalstāmo darbību, nodrošinot skaidru sasaisti ar 9.4.apakšpunktā minēto sasniedzamo nacionālo rādītāju - paplašināts Latvijas kosmosa nozares portāla https://latviaspace.gov.lv saturs un pilnveidota tā funkcionalitāte ar mērķi palielināt Latvijas kosmosa nozares starptautisko atpazīstamību un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Eiropas Savienības kohēzijas politikas programmas 2021.–2027. gadam pētījumu projektu zinātniskās kvalitātes starptautiskas novērtēšanas nodrošināšana, piesaistot zinātnisko ekspertu datubāzēs iekļautus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IZM sniedza informāciju, ka Latvijas Zinātnes padome nodrošinātu arī tādu projektu starptautisku novērtēšanu, kas neklasificējas kā pētniecības projekti un kam attiecīgi nav vērtējama zinātniskā kvalitāte (piemēram, 2014.–2020. gada plānošanas perioda 14.1.1.1. pasākums). Gadījumā, ja pieeja tikusi mainīta, lūdzam anotācijā skaidrot, kā 2021.–2027. gada plānošanas periodā paredzēts nodrošināt novērtējumus, kas nav klasificējami kā zinātniskās kvalitātes ekspertīze, kā arī lūdzam anotācijā sniegt skaidrojumu, kādēļ visi starptautiskie novērtējumi tomēr netiek iekļauti šajā SAM. Savukārt gadījumā, ja IZM iepriekš sniegtā informācija ir spēkā un Latvijas Zinātnes padome nodrošinās arī tādus projektu starptautiskus novērtējumus, kas nav pētījuma zinātniskā kvalitāte, lūdzam precizēt šī punkta redakciju, paplašinot novērtējumu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16.punkta apakšpunktu redakcijas, skaidri nosakot, kuras izmaksas ir attiecināmas Latvijas Zinātnes padomei kā sadarbības partnerim un kuras ir attiecināmas Izglītības un zinātnes ministrijai kā finansējuma saņēmējam vai precizējot, kuru atbalstāmo darbību īstenošanai katra attiecināmo izmaksu pozīcija ir piemērojama. Saskaņā ar 12. punktu, Latvijas Zinātnes padome nodrošina tikai 14.7.punktā noteiktās atbalstāmās darbības īstenošanu, līdz ar to nav saprotams, vai un kādēļ Latvijas Zinātnes padomei būtu attiecināmas, piemēram, 16.1. apakšpunktā minētās projekta vadības izmaksas, kā arī 16.4., 16.5., 16.6, 16.8. un 16.9.apakšpunktos noteiktās izmaksas. Ja tomēr kādas no iepriekšminētajām izmaksām būtu nepieciešamas Latvijas Zinātnes padomei kā sadarbības partnerim, lūdzam atbilstoši arī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vadības un projekta īstenošanas personāla atlīdzības izmaksas (izņemot virsstundas)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īstenošanai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vienkāršoto izmaksu metodiku paredzēts izstrādāt līdz projekta iesnieguma atlases uzsākšanai. Ja vienkāršoto izmaksu metodiku paredzēts apstiprināt pēc vienošanās par projekta īstenošanu noslēgšanas, lūdzam papildināt noteikumu projektu ar punktu, kas nosaka izmaksu attiecināmības principus līdz vienkāršoto izmaksu metodikas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jaunradītu darba vietu vai esošo darba vietu atjaunošanai nepieciešamā aprīkojuma, tai skaitā biroja mēbeļu un tehnikas, datorprogrammu un licences iegādes vai īres izmaksas, tai skaitā aprīkojuma uzturēšanas un remonta izmaksas, ne vairāk kā 3 000 euro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33.punktā noteikto, daļlaika izmaksu attiecināšanas principa gadījumā jāņem vērā darbinieka iesaistes periods projektā pret projekta kopējo īstenošanas ilgumu un daļlaika proporcija darbam projektā. Līdz ar to lūdzam papildināt MK noteikumu apakšpunkta attiecīgo daļu ar nosacījumu, ka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ārvalstu komandējuma izmaksas atbilstoši VI vadlīniju Nr. 1.2. "Vadlīnijas attiecināmo izmaksu noteikšanai Eiropas Savienības kohēzijas politikas programmas 2021.-2027.gada plānošanas periodā" 47.punkta (62.zemsvītrā atsaucē) minētajam, attiecināmas projekta vadītājam un projekta īstenošanas personālam. Lūdzam precizēt MK noteikumu projekta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aprakstu tā, lai ir viennozīmīgi skaidrs kuri no darbiniekiem varēs doties ārvalstu komandējumos, kā arī kuru atbalstāmo darbību ietvaros šādi komandējumi ir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pakalpojumu izmaksas; ja pakalpojuma sniedzējs ir fiziska persona un tā nav reģistrējusies Valsts ieņēmumu dienestā kā pašnodarbināta persona, attiecināmas ir arī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pakalpojumu izmaksas/ kuru atbalstāmo darbību īstenošanai paredzētas 16.6. apakšpunktā minētās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zinātnisko ekspertu  datubāzēs iekļauto ekspertu darba samaksa, kuri veiks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minēto pētījumu projektu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šie eksperti ir plānoti kā sadarbības partnera projekta īstenošanas personāls un kas saprotams ar "darba samaksa". Vēršam uzmanību, ka projekta vadības un īstenošanas personāla atlīdzības izmaksu segšanai paredzēts piemērot AI izstrādātu vienkāršoto izmaksu metodiku, līdz ar to vēršam uzmanību, ka izmaksu attiecināšanā būtu jāievēro vienāda pieeja.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ar semināru, diskusiju, konferenču un mācību organizēšanu un īstenošanu saistītās izmaksas, tai skaitā ekspertu izmaksas, telpu īre, ja aktivitāšu īstenošanai nepieciešams īrēt telpas ārpus finansējuma saņēmēja vai sadarbības partnera juridiskās adreses, un izdales materiālu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funkcijas pildīs un kā plānots attiecināt izmaksas par 16.8. apakšpunktā minētajiem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atbalstāmo darbību ietvaros ir attiecināms pievienotās vērtības nodoklis tiešajām attiecināmajām izmaksām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19.1.2.apakšpunktu projektiem, kuru kopējās izmaksas ir vismaz 5.milj. EUR (ieskaitot pievienotās vērtības nodokli), pievienotās vērtības nodokļa (turpmāk - PVN) līdzekļu attiecināšanas princips nav mainījies un tos var attiecināt no Eiropas Savienības fondu finansējuma tikai, ja nav atgūstams saskaņā ar valsts tiesību aktiem PVN jomā. Līdz ar to, lai nodrošinātu sistēmisku pieeju, lūdzam 18.punkta redakciju papildināt ar nosacījumu "….ja vien nav atgūstams saskaņā ar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projekta īstenošanas laikā vadošā iestāde izstrādā vienkāršoto izmaksu metodiku kādām no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 atbilstoši metodikā noteiktajam spēkā stāšanās laikam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vadošo iestādi ar atbildīgo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un sadarbības partnerim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izmaksas paredzēts attiecināt no MKN spēkā stāšanās dienas,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MKN projektā papildināt,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un sadarbības partnerim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nodrošinot skaidru demarkāciju ar 2014-2020 plānošanas perioda īstenoto projektu Nr.1.1.1.5/17/I/002. Atbilstoši lūdzam precizēt arī noteikumu projekta anotāciju. Vēršam uzmanību, ka iepriekšminētā projekta ietvaros līdz pat 2023.gada 30.novembrim tiek nodrošināta konkrētu darbību īstenošana, kas vienlaikus paredzēta arī šajā noteikumu projektā,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mērķtiecīga attiecību veidošana un sadarbība ar Latvijas diasporu ārvalstīs kopīgu pētniecības un attīstības pasākumu īstenošanai un sadarbības iespēju paplašināšanai, tostarp Latvijas zinātnieku ārvalstīs apzināšana un līdzšinējo savstarpējās sadarbības tīklu un komunikācijas pasākumu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komunikācijas kampaņas īstenošana, tai skaitā mērķgrupu pētījumi, ja nepieciešams, t.sk., attīstot un izstrādājot daudzfunkcionālo Latvijas zinātnes portālu https://researchLatvia.gov.lv;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Regulāra dalība visās atbilstošajās «Apvārsnis Eiropa» programmu komitejās;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Regulāra dalība EPT tematiskās darba grupas atbilstoši Latvijas politikas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šis noteikumu projekts tiktu apstiprināts pēc 2023.gada 30.novembra, izteiktais iebildums savu aktualitāti zaudētu.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īstenošanas gaitā radušos izmaksu sadārdzinājumu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ka finansējuma saņēmējs nodrošina nepārklāšanās principu ar citiem valsts un ārvalstu finanšu atbalsta instrumentiem un dubultā finansējuma neiestāšanos.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papildināt noteikumu projekta IV nodaļu ar normu, kas paredz, ka finansējuma saņēmējs un sadarbības partneris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saņēmējs projektu īsteno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"Valsts budžeta līdzekļu plānošanas kārtība Eiropas Savienības fondu projektu īstenošanai un maksājumu veikšanai 2021.-2027.gada plānošanas periodā" paredzēts, ka Sadarbības iestāde pieņem maksājuma pieprasījumus, pārbauda tos un apstiprina ne vēlāk kā līdz 2030. gada 15. martam, iebilstam projekta īstenošanas termiņam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Nr.135 "Eiropas Savienības fondu projektu pārbaužu veikšanas kārtība 2021.–2027. gada plānošanas periodā" 48.punktu, sadarbības iestāde iesniegto maksājuma pieprasījumu izskata, gūst pārliecību par iekļauto izdevumu atbilstību un apstiprina attiecināmo izdevumu summu 80 dienu laikā, savukārt vienošanās par Eiropas Savienības fondu projekta īstenošanu standartforma paredz, ka finansējuma saņēmējs noslēguma maksājuma pieprasījumu iesniedz ne vēlāk kā 10 darba dienu laikā pēc Projekta darbību īstenošanas laika beigām vai pēc pēdējā Finansējuma saņēmēja veiktā maksājuma, ja maksājums veikts ne vēlāk kā 20 (divdesmit) darbdienu laikā pēc Projekta darbību īstenošanas laika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samērīgs projekta īstenošanas termiņš gan attiecībā pret sadarbības iestādes, gan finansējuma saņēmēja tiesībām, veicamajām funkcijām, atbildību un pienākumiem ir 2029.gada 13.novembris. Tā kā šajā projektā nav nepieciešams no sadarbības iestādes nodrošināt kādus papildus vērtējumus vai rezultātu sasniegšanas kvalitātes analīzi, kā arī ņemot vērā līdzšinējo sadarbības iestādes pieredzi darbā ar Izglītības un zinātnes ministriju kā finansējuma saņēmēju projekta Nr.1.1.1.5/17/I/002 ietvaros, būtu pieļaujama projekta īstenošana līdz 2029.gada 30.novembrim.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saņēmējs projektu īsteno saskaņā ar vienošanos par projekta īstenošanu, kas noslēgta starp finansējuma saņēmēju un sadarbības iestādi, bet ne ilgāk kā līdz 2029. gada 30. novembrim.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īsteno projektu, kas nav saistīts ar saimnieciskās darbības veikšanu vai nav kvalificējams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23. punkta redakcija nenodrošina nepārprotamu izpratni par to, ka finansējuma saņēmējs īstenos tikai tādus projektus, kuros tiek īstenotas tikai darbības, kurām nav saimnieciska rakstura, pretēji tam, kā tas skaidrots anotācijā. Lūdzam precizēt attiecīgo MKN projekta punktu, lai būtu nepārprotami skaidrs, ka atbalsts tiks piešķirts tikai ar saimniecisko darbību nesaistītiem projektiem, savukārt projektiem, kas saistīti ar saimnieciskās darbības veikšanu, publiskie līdzekļi piešķirti netiks.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atbilstoši precizēt MKN projektā, vai ir plānots piemērot sociāli atbildīgu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1.3.apakšsadaļas rindkopu par pasākuma ietekmi uz horizontālajiem principiem, nepārprotami norādot, ka būs netieša ietekme uz visiem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informāciju par 1.1.1.1.pasākuma demarkāciju ar darbības programmas “Izaugsme un nodarbinātība” 1.1.1.5.pasākumu, ņemot vērā to, ka 1.1.1.5.pasākuma projekta īstenošana turpinās līdz 2023. gada 30. novembrim. Lūdzam precizēt, kā tieši tiks nodrošināta sinerģija, papildinātība un nepārklāšanās.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9.1., 9.3.un 9.4.punktos minēto, ka pasākuma ietvaros paredzēts attīstīt portālus https://researchLatvia.gov.lv un https://latviaspace.gov.lv, kā arī anotācijā skaidroto, ka 1.1.1.1.pasākuma ietvaros īstenojamās darbības nav kvalificējamas kā saimnieciskā darbība un komercdarbības atbalsta sniegšana nav paredzēta, lūdzam anotācijā skaidrot, kas ir šo mājaslapu īpašnieks (vai tas ir valsts funkciju īstenotājs un kur šāda funkcija noteikta) un kādiem mērķiem tās ir paredzētas. Vēršam uzmanību, ka gadījumā, ja finansējums šo portālu attīstībai dod labumu saimnieciskās darbības veicējiem, potenciālais labums no publisko līdzekļu piešķīruma tiem ir jāvērtē komercdarbības atbalsta kontroles kontekstā. Ja Izglītības un zinātnes ministrijas ieskatā mājaslapā minētie komersanti nekādu labumu negūst, lūdzam to skaidrot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Komisijas paziņojuma par Līguma par Eiropas Savienības darbību 107. panta 1. punktā minēto valsts atbalsta jēdzienu (2016/C 262/01) (turpmāk - EK Paziņojums) 2.2..sadaļā norādītajam, Līguma par Eiropas Savienības darbību 107. panta 1. punkts nav piemērojams situācijās, kad valsts rīkojas, “īstenojot valsts varu” vai kad publiskie subjekti rīkojas “publisko iestāžu statusā", subjektu var uzskatīt par tādu, kurš rīkojas, īstenojot valsts varu, ja attiecīgā darbība pieder pie valsts galvenajām funkcijām vai pēc savas būtības, mērķa un tai piemērojamajiem noteikumiem ir saistīta ar šīm funkcijām. Ievērojot minēto, lūdzam papildināt anotācijas 1.3.sadaļā sniegto informāciju ar skaidrojumu, kuros tiesību aktos noteiktas atbilstošas funkcijas Izglītības un zinātnes ministrijai un tās sadarbības partnerim, Latvijas Zinātnes padomei, lai varētu uzskatīt, ka attiecībā uz šiem subjektiem izpildās EK Paziņojuma 17.punktā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pasākuma atbalsta veidu (grantu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projekta (turpmāk – projekts)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papildināt noteikumu projekta 1.4. apakšpunktu un II nodaļas nosaukumu ar prasībām finansējuma saņēmējam, tostarp ņemot vērā, ka noteikumu projekta 12. punktā noteiktas prasības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1.6. apakšpunktu ar vārdiem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Pasākumam plānotais kopējais attiecināmais finansējums ir 13 616 945 euro (tajā skaitā elastības finansējuma apjoms 2 147 736 euro), tai skaitā Eiropas Reģionālā attīstības fonda (turpmāk – ERAF) finansējums 11 574 403 euro (tajā skaitā elastības finansējuma apjoms 1 825 576 euro) un valsts budžeta finansējums – 2 042 542 euro (tajā skaitā elastības finansējuma apjoms 322 160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saīsinājumu "ERAF" noteikumu projekta 1.4.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nacionālos rādītājus ar kvantitatīvām sasniedzamajām vērtībām, kā arī lūdzam anotācijā skaidrot to definīcijas un norādījumus, kas apliecinās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norādīt nacionālo rādītāju sasniegšanas termiņu saskaņā ar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nodrošināta vienota starptautiskā zinātniskā ekspertīze, tai skaitā sākotnējā, vidusposma un noslēguma zinātniskā ekspertīze Eiropas Savienības Kohēzijas politikas programmas 2021.–2027. gadam pētījumu projektiem – vismaz četrām investīciju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priekšlikumu pie noteikumu projekta 16.7.apakšpunkta un atbilstoši salāgot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Minētais plāns tiek īstenots līdz projekta noslēgumam.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projekta iesniegumam atsevišķi pievienot rīcības plānu starpinstitucionālās, starptautiskās un starpsektoru sadarbības stiprināšanai pētniecības kapacitātes attīstībai, tostarp stiprinot Latvijas līdzdalību EPT.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projekta iesniegumā skaidri apraksta veicamās darbības atbilstoši Ministru kabineta noteikumos noteiktajām atbalstāmajām darbībām un projektu iesniegumu atlases komisija vērtē šo darbību loģisku saikni ar atbalstāmajām darbībām, kā arī pamatotību saistībā projektā definēto problēmu risināšanu, aicinām izvērtēt nepieciešamību papildus iesniegt šādu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2014.-2020. plānošanas perioda ietvaros finansējuma saņēmējam bija nepieciešams pievienot rīcības plānu, kas saskaņots ar attiecīgajām nozaru ministrijām, tādējādi bija skaidri saprotama šāda atsevišķi sagatavota rīcības plāna pievienotā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izvērtēt iespēju paredzēt, ka izstrādātais un projekta iesniegumam pievienojamais rīcības plāns ir saskaņots ar, piemēram, attiecīgajām nozaru ministrijām vai zinātnes jomas asociācijām / sociālajiem partneriem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Eiropas Savienības kohēzijas politikas programmas 2021.–2027. gadam pētījumu projektu zinātniskās kvalitātes starptautiskas novērtēšanas nodrošināšana, piesaistot zinātnisko ekspertu datubāzēs iekļautus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ņemot vērā, ka ne visas anotācijā minētās programmas, kurās LZP paredzēts nodrošināt ekspertīzi, piesaistot zinātnisko ekspertu datubāzēs iekļautus ekspertus, ir pētniecības programmas (piemēram, inovāciju granti studentiem).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projektu zinātniskās kvalitātes starptautiskas novērtēšanas nodrošināšana, piesaistot zinātnisko ekspertu datubāzēs iekļautus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veselības apdrošināšanas izmaksas un obligāto veselības pārbaužu izmaksas, redzes korekcijas līdzekļu kompensācija, finansējuma saņēmēja  un sadarbības partnera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16.2. un 16.3. apakšpunktā noteikto izmaksu iekļaušanai tiešajās attiecināmajās projekta izmaksās, ja projekta vadības un īstenošanas personālam paredzēts piemērot vienkāršoto izmaksu metodiku. Tātad aģentūras rīcībā var nebūt pieejama detalizēta informācija par projektā nodarbinātā personāla slodzi konkrētos projekta īstenošanas periodos, kas apgrūtina iepriekšminēto izdevumu attiecināmības proporcijas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 projekta 1.1.1.5/17/I/002 ietvaros šīm divām pozīcijām līdz šim ir izlietoti 22 224,81 EUR, kas ir 0,32% no projekta kopējām attiecināmajām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iekšzemes komandējumu metodikas nosaukumu uz "Vienas vienības izmaksu standarta likmes aprēķina un piemērošanas metodika iekšzemes komandējumu izmaksām darbības programmas “Izaugsme un nodarbinātība” un Eiropas Savienības kohēzijas politikas programmas 2021.–2027.gadam īstenošanai". Lūdzam to aktualizēt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transporta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gan MK noteikumos, gan anotācijā papildināt ar vārdu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transporta pakalpojumu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zinātnisko ekspertu  datubāzēs iekļauto ekspertu darba samaksa, kuri veiks </w:t>
            </w:r>
            <w:r w:rsidR="00000000" w:rsidRPr="00000000" w:rsidDel="00000000">
              <w:rPr>
                <w:rtl w:val="0"/>
              </w:rPr>
              <w:t xml:space="preserve">14.7. </w:t>
            </w:r>
            <w:r w:rsidR="00000000" w:rsidRPr="00000000" w:rsidDel="00000000">
              <w:rPr>
                <w:rtl w:val="0"/>
              </w:rPr>
              <w:t xml:space="preserve">apakšpunktā</w:t>
            </w:r>
            <w:r w:rsidR="00000000" w:rsidRPr="00000000" w:rsidDel="00000000">
              <w:rPr>
                <w:rtl w:val="0"/>
              </w:rPr>
              <w:t xml:space="preserve"> minēto pētījumu projektu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ņemot vērā, ka ne visas anotācijā minētās programmas, kurās LZP paredzēts nodrošināt ekspertīzi, piesaistot zinātnisko ekspertu datubāzēs iekļautus ekspertus, ir pētniecības programmas (piemēram, inovāciju granti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lūdzam ņemt vērā, ka šobrīd saskaņošanā ar Latvijas Zinātnes padomi ir starpresoru vienošanās par zinātnisko ekspertu datubāzēs iekļauto ekspertu ekspertīžu nodrošināšanu un tā paredz ne tikai sākotnējo, vidusposma un gala zinātniskās kvalitātes vērtējumu, bet, ņemot vērā aģentūras pieredzi 2014.-2020.gada plānošanas perioda īstenošanā, arī ārpuskārtas zinātnisko ekspertīzi, ja tāda nepieciešama, piemēram, līguma grozījumu apstiprināšanai, kas potenciāli var ietekmēt ekspertu sākotnējo vērtējumu un potenciāli var paredzēt zinātniskās kvalitātes izmaiņas, vai, piemēram, gadījumos, kad nepieciešams ekspertu atzinums par specifiskiem dubultā finansējuma riskiem u.tml. Tādēļ lūdzam nesašaurināt šajā noteikumu projektā ietverto attiecināmo ekspertīžu loku un atbilstoši lūdzam papildināt arī noteikumu projekta anotāciju ar ceturto ekspertīžu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Zinātnisko ekspertu  datubāzēs iekļauto ekspertu darba samaksa, kuri veiks 14.7. apakšpunktā minēto projektu zinātniskās kvalitātes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Šo noteikumu izpratnē par zinātnisko ekspertīzi (turpmāk – ekspertīzi) ir uzskatāmas: projektu iesniegumu atlases ekspertīze, projekta īstenošanas vidusposma rezultātu kvalitātes ekspertīze un projekta īstenošanas gala rezultātu kvalitātes ekspertīze un ārpuskārtas ekspertīze, ja to veic zinātnisko ekspertu datubāzēs iekļauti eksperti.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ar semināru, diskusiju, konferenču un mācību organizēšanu un īstenošanu saistītās izmaksas, tai skaitā ekspertu izmaksas, telpu īre, ja aktivitāšu īstenošanai nepieciešams īrēt telpas ārpus finansējuma saņēmēja vai sadarbības partnera juridiskās adreses, un izdales materiālu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,minētājām izmaksām izstrādāt vienkāršoto izmaksu metodiku, piemēram noteikt tas kā vienrējzēju maksājumu vai vienas vienības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Baha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ietvaros finansējuma saņēmējam un sadarbības partnerim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dažādot izmaksu attiecināmības sākuma brīžus finansējuma saņēmējam un sadarbības partnerim, ņemot vērā, ka sadarbības partneris tiks piesaistīts pēc projekta iesniegšanas 14.7. apakšpunktā minētās atbalstāmās darbības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saņēmējs projektu īsteno saskaņā ar vienošanos par projekta īstenošanu, kas noslēgta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 un 25. punktu pirms vārda "saņēmējs" ar vārdu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2021.-2027.plānošanas perioda 1.1.1.5.pasākuma finansējuma apmēru (tai skaitā, ERAF un valsts budžeta finansējumu) pēc finansējuma pārdales uz 1.1.1.1.pasākumu.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projekta uzraudzības padomes kompetenci. Saskaņā ar noteikumu projekta 28.punktu, uzraudzības padome vismaz reizi gadā vērtētu nacionālo rādītāju sasniegšanas progresu. Vēršam uzmanību, ka anotācijā nav minētas nacionālo rādītāju sākotnējās skaitliskās vērtības, pret kurām projekta īstenošanas laikā viennozīmīgi vērtēt rādītāja sasniegšanu (piemēram, lietotāju skaita pieaugums par 50%, dalībnieku skaita pieaugums par 20%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aicinām izvērtēt iespēju uzraudzības padomes kompetencē iekļaut noteikumu projekta 13.punktā minētā rīcības plāna starpinstitucionālās, starptautiskās un starpsektoru sadarbības stiprināšanai pētniecības kapacitātes attīstībai, tostarp stiprinot Latvijas līdzdalību EPT, izpildes uzraudzību (ja atsevišķa rīcības plāna nepieciešamība projektu iesniegumu atlasē tiek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Millere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24.04.2023.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24.04.2023.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Atzinumi_23-TA-818.docx</dc:title>
</cp:coreProperties>
</file>

<file path=docProps/custom.xml><?xml version="1.0" encoding="utf-8"?>
<Properties xmlns="http://schemas.openxmlformats.org/officeDocument/2006/custom-properties" xmlns:vt="http://schemas.openxmlformats.org/officeDocument/2006/docPropsVTypes"/>
</file>