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15.1.</w:t>
            </w:r>
            <w:r w:rsidR="00000000" w:rsidRPr="00000000" w:rsidDel="00000000">
              <w:rPr>
                <w:rtl w:val="0"/>
              </w:rPr>
              <w:t xml:space="preserve">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w:t>
            </w:r>
            <w:r w:rsidR="00000000" w:rsidRPr="00000000" w:rsidDel="00000000">
              <w:rPr>
                <w:rtl w:val="0"/>
              </w:rPr>
              <w:t xml:space="preserve">Regula Nr. 2021/1060</w:t>
            </w:r>
            <w:r w:rsidR="00000000" w:rsidRPr="00000000" w:rsidDel="00000000">
              <w:rPr>
                <w:rtl w:val="0"/>
              </w:rPr>
              <w:t xml:space="preserve">), 55. panta 1. punktu projekta iesniegumā plāno kā vienu izmaksu pozīciju, piemērojot vienoto izmaksu likmi 13 procentu apmērā no pārējām šo noteikumu </w:t>
            </w:r>
            <w:r w:rsidR="00000000" w:rsidRPr="00000000" w:rsidDel="00000000">
              <w:rPr>
                <w:rtl w:val="0"/>
              </w:rPr>
              <w:t xml:space="preserve">34.</w:t>
            </w:r>
            <w:r w:rsidR="00000000" w:rsidRPr="00000000" w:rsidDel="00000000">
              <w:rPr>
                <w:rtl w:val="0"/>
              </w:rPr>
              <w:t xml:space="preserve"> punktā minētajām projekta tiešajām attiecināmajām īstenošanas izmaksām. Minētās atbalstāmās darbības ietvaros ir attiecināmas finansējuma saņēmēja projekta vadības personāla un īstenošanas personāla atlīdzības izmaksas un 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apakšpunktā minēto sadarbības partneru projekta īstenošanas personāla atlīdzības izmaksas par dalību šo noteikumu </w:t>
            </w:r>
            <w:r w:rsidR="00000000" w:rsidRPr="00000000" w:rsidDel="00000000">
              <w:rPr>
                <w:rtl w:val="0"/>
              </w:rPr>
              <w:t xml:space="preserve">35.</w:t>
            </w:r>
            <w:r w:rsidR="00000000" w:rsidRPr="00000000" w:rsidDel="00000000">
              <w:rPr>
                <w:rtl w:val="0"/>
              </w:rPr>
              <w:t xml:space="preserve"> punktā minētās ārstniecības personu piesaistes konsultatīvās darba grupas darbā.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2023. gada 15. augusta noteikumu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 16. punktā veiktos grozījumus, kas paredz atlīdzības izmaksas konsultatīvajai darba grupai, kuras sastāvā plānots iesaistīt Nacionālo veselības dienestu un Veselības inspekciju kā sadarbības partneri atbilstoši valsts deleģētajām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finansētos projektos nevar atbalstīt konkrētas valsts vai privātas struktūras darbību vai funkcijas, uz ko norādīts arī Eiropas Komisijas auditoru konstatējumu revīzijas Nr. DAC514LV2518 ietvaros par Eiropas Savienības struktūrfondu un Kohēzijas fonda 2014.–2020.gada plānošanas perioda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anotācijā ietvert skaidrojumu par izstrādāto Ministru kabineta noteikumu grozījumu ietekmi uz finansējuma saņēmēju, kā arī lūdzam norādīt, vai izstrādātie grozījumi nav uzskatāmi par būtiskiem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izpratnē, tas ir tādi, kas ietekmē īstenošanā esošo projektu darbības veidu, mērķus vai īstenošanas nosacījumus, tādējādi traucējot projekta sākotnējo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anotāciju ar informāciju par to, vai vienošanās par projekta īstenošanu būs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15.1.</w:t>
            </w:r>
            <w:r w:rsidR="00000000" w:rsidRPr="00000000" w:rsidDel="00000000">
              <w:rPr>
                <w:rtl w:val="0"/>
              </w:rPr>
              <w:t xml:space="preserve">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w:t>
            </w:r>
            <w:r w:rsidR="00000000" w:rsidRPr="00000000" w:rsidDel="00000000">
              <w:rPr>
                <w:rtl w:val="0"/>
              </w:rPr>
              <w:t xml:space="preserve">Regula Nr. 2021/1060</w:t>
            </w:r>
            <w:r w:rsidR="00000000" w:rsidRPr="00000000" w:rsidDel="00000000">
              <w:rPr>
                <w:rtl w:val="0"/>
              </w:rPr>
              <w:t xml:space="preserve">), 55. panta 1. punktu projekta iesniegumā plāno kā vienu izmaksu pozīciju, piemērojot vienoto izmaksu likmi 13 procentu apmērā no pārējām šo noteikumu </w:t>
            </w:r>
            <w:r w:rsidR="00000000" w:rsidRPr="00000000" w:rsidDel="00000000">
              <w:rPr>
                <w:rtl w:val="0"/>
              </w:rPr>
              <w:t xml:space="preserve">34.</w:t>
            </w:r>
            <w:r w:rsidR="00000000" w:rsidRPr="00000000" w:rsidDel="00000000">
              <w:rPr>
                <w:rtl w:val="0"/>
              </w:rPr>
              <w:t xml:space="preserve"> punktā minētajām projekta tiešajām attiecināmajām īstenošanas izmaksām. Minētās atbalstāmās darbības ietvaros ir attiecināmas finansējuma saņēmēja projekta vadības personāla un īstenošanas personāla atlīdzības izmaksas un 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apakšpunktā minēto sadarbības partneru projekta īstenošanas personāla atlīdzības izmaksas par dalību šo noteikumu </w:t>
            </w:r>
            <w:r w:rsidR="00000000" w:rsidRPr="00000000" w:rsidDel="00000000">
              <w:rPr>
                <w:rtl w:val="0"/>
              </w:rPr>
              <w:t xml:space="preserve">35.</w:t>
            </w:r>
            <w:r w:rsidR="00000000" w:rsidRPr="00000000" w:rsidDel="00000000">
              <w:rPr>
                <w:rtl w:val="0"/>
              </w:rPr>
              <w:t xml:space="preserve"> punktā minētās ārstniecības personu piesaistes konsultatīvās darba grupas darbā.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2023. gadā attiecīgā izmaksu likme tika saskaņota ar Vadošo iestādi, balstoties uz finansējuma saņēmēja datiem, ir būtiski pārliecināties, ka šie dati ir reprezentatīvi arī sadarbības partneru izmaksu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vai sadarbības partneru izmaksu struktūra atbilst apstiprinātās likmes datiem, kā arī lūdzam papildināt tiesību akta projekta anotācijā sniegto informāciju, pretējā gadījumā pastāv potenciāls revīzijas risks nākotnē.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50.6. atsauci uz </w:t>
            </w:r>
            <w:r w:rsidR="00000000" w:rsidRPr="00000000" w:rsidDel="00000000">
              <w:rPr>
                <w:rtl w:val="0"/>
              </w:rPr>
              <w:t xml:space="preserve">Eiropas Komisijas 2011. gada 20. decembra Lēmumu Nr. 2012/21/ES</w:t>
            </w:r>
            <w:r w:rsidR="00000000" w:rsidRPr="00000000" w:rsidDel="00000000">
              <w:rPr>
                <w:rtl w:val="0"/>
              </w:rPr>
              <w:t xml:space="preserve"> par Līguma par Eiropas Savienības darbību 106. panta 2. punkta piemērošanu komercdarbības atbalstam attiecībā uz kompensāciju par sabiedriskajiem pakalpojumiem dažiem uzņēmumiem, kuriem uzticēts sniegt pakalpojumus ar vispārēju tautsaimniecisku nozīmi (turpmāk – Komisijas lēmums Nr. 2012/21/ES).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2026. gada 8. janvārī stājies spēkā Komisijas Lēmums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jaunais VTNP lēmums), kas aizstās Komisijas Lēmumu 2012/21/ES (2011.gada 20.decembris) par Līguma par Eiropas Savienības darbību 106.panta 2.punkta piemērošanu valsts atbalstam attiecībā uz kompensāciju par sabiedriskajiem pakalpojumiem dažiem uzņēmumiem, kuriem uzticēts sniegt pakalpojumus ar vispārēju tautsaimniecisku nozīmi (turpmāk – vecais VTNP lēmums). Vienlaikus jaunajā VTNP lēmumā ir noteikts, ka visas atbalsta programmas, kas stājās spēkā pirms tā spēkā stāšanās un kas bija saderīgas ar iekšējo tirgu un atbrīvotas no paziņošanas prasības saskaņā ar veco VTNP lēmumu, arī turpmāk ir saderīgas ar iekšējo tirgu un atbrīvotas no paziņošanas prasības vēl divu gadu laikposmā pēc šā lēmuma stāšanās spēkā. Vēršam uzmanību, ka atbilstoši Jaunā VTNP lēmuma pārejas noteikumiem (9. panta a) punkts) atbalsta shēmas, kas stājās spēkā pirms jaunā lēmuma spēkā stāšanās un bija saderīgas ar Eiropas Savienības iekšējo tirgu un atbrīvotas no paziņošanas pienākuma saskaņā ar veco VTNP lēmumu, arī turpmāk ir saderīgas ar iekšējo tirgu un atbrīvotas no paziņošanas prasības vēl divu gadu laikposmā pēc šā lēmuma stāšanās spēkā, t.i., līdz 2028. gada 7. janvārim. Neskatoties uz jauno regulējumu, saderības ar ES iekšējo tirgu pamatnosacījumi nav konceptuāli mainīti, proti, gan vecais VTNP lēmums, gan jaunais VTNP lēmums balstās uz tiem pašiem principiem, un jaunais lēmums būtiski nepārskata šos principus, bet tikai precizē terminoloģiju un atsevišķus aspektus, piemēram, pilnvarojuma satura prasības un atsevišķu vispārējas tautsaimniecības nozīmes pakalpojuma kategoriju definīcijas. Lai būtu skaidrs, ka, neveicot grozījumus MK noteikumos, atbalstu programmas ietvaros saskaņā ar veco VTNP lēmumu var saņemt arī subjekti, kam noslēgts pilnvarojuma akts ar jauno VTNP lēmumu, aicinām anotācijā iekļaut atrunu, ka atbalstu saskaņā ar veco VTNP lēmumu var saņemt arī subjekti, kam noslēgts pilnvarojuma akts ar jauno VTNP lēmumu, ievērojot noteikumos ietvertos atbalsta nosacījumus un nosacījumus, kas izriet no vecā VTNP lēmuma, un atsauces neesamība pilnvarojuma aktā uz veco VTNP lēmumu nav šķērslis, lai piešķirtu atbalstu saskaņā ar veco VTNP lēmumu. Taču, ja plānots, ka gadījumos, kad pilnvarojuma akts noslēgts atbilstoši jaunajam VTNP lēmumam, atbalstu piešķirs ar jauno VTNP lēmumu, tad lūgums veikt precizējumus MK noteikumos un sniegt atbilstošu skaidrojumu anotācijā, skaidri nosakot, kuros gadījumos atbalstu piešķirs atbilstoši vecajam VTNP lēmumam un kuros – atbilstoši jaunajam VTNP lēmumam (atkarībā no tā, ar kuru Lēmumu pilnvarojuma akts). Piemēram, tad MK noteikumu 50.6.punkts būtu papildināms ar tekstu "(izņemot, ja pilnvarojum akts ir ar Komisijas Lēmumu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un jāsniedz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31.03.2026.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31.03.2026.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Atzinumi_26-TA-652.docx</dc:title>
</cp:coreProperties>
</file>

<file path=docProps/custom.xml><?xml version="1.0" encoding="utf-8"?>
<Properties xmlns="http://schemas.openxmlformats.org/officeDocument/2006/custom-properties" xmlns:vt="http://schemas.openxmlformats.org/officeDocument/2006/docPropsVTypes"/>
</file>