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 vienlaikus ir izpildīti šādi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ir izstrādāti t.sk. saskaņā ar likuma "Par zemes dzīlēm" 12.</w:t>
            </w:r>
            <w:r w:rsidR="00000000" w:rsidRPr="00000000" w:rsidDel="00000000">
              <w:rPr>
                <w:vertAlign w:val="superscript"/>
                <w:rtl w:val="0"/>
              </w:rPr>
              <w:t xml:space="preserve">2</w:t>
            </w:r>
            <w:r w:rsidR="00000000" w:rsidRPr="00000000" w:rsidDel="00000000">
              <w:rPr>
                <w:rtl w:val="0"/>
              </w:rPr>
              <w:t xml:space="preserve"> panta pirmo un trešo daļu, kas cita starpā nosaka, ka "Šā likuma 10. panta trešajā daļā minēto konkursu nerīko, ja persona kristāliskā pamatklintāja iežu ģeoloģiskās izpētes laikā nav izdarījusi pārkāpumus </w:t>
            </w:r>
            <w:r w:rsidR="00000000" w:rsidRPr="00000000" w:rsidDel="00000000">
              <w:rPr>
                <w:b w:val="1"/>
                <w:rtl w:val="0"/>
              </w:rPr>
              <w:t xml:space="preserve">un ir veikusi kristāliskā pamatklintāja iežu ģeoloģisko izpēti, izmantojot privāto finansējumu un nesaņemot jebkādu valsts atbalstu</w:t>
            </w:r>
            <w:r w:rsidR="00000000" w:rsidRPr="00000000" w:rsidDel="00000000">
              <w:rPr>
                <w:rtl w:val="0"/>
              </w:rPr>
              <w:t xml:space="preserve">. Nosacījumus un kārtību, kādā licence kristāliskā pamatklintāja iežu ieguvei saņemama bez konkursa, nosaka Ministru kabinets." Atbilstoši grozījumu mērķim un skaidrojumam anotācijā, lūdzam iekļaut atpakaļ sākotnējo noteikumu grozījumos iekļauto 39.</w:t>
            </w:r>
            <w:r w:rsidR="00000000" w:rsidRPr="00000000" w:rsidDel="00000000">
              <w:rPr>
                <w:vertAlign w:val="superscript"/>
                <w:rtl w:val="0"/>
              </w:rPr>
              <w:t xml:space="preserve">1</w:t>
            </w:r>
            <w:r w:rsidR="00000000" w:rsidRPr="00000000" w:rsidDel="00000000">
              <w:rPr>
                <w:rtl w:val="0"/>
              </w:rPr>
              <w:t xml:space="preserve"> apakšpunktu: "kristāliskā pamatklintāja iežu ģeoloģiskā izpēte veikta, izmantojot tikai privātu finansējumu, par ko tiek iesniegts dokuments, kas to apliecina;".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Veicot šo noteikumu 56.</w:t>
            </w:r>
            <w:r w:rsidR="00000000" w:rsidRPr="00000000" w:rsidDel="00000000">
              <w:rPr>
                <w:vertAlign w:val="superscript"/>
                <w:rtl w:val="0"/>
              </w:rPr>
              <w:t xml:space="preserve">26</w:t>
            </w:r>
            <w:r w:rsidR="00000000" w:rsidRPr="00000000" w:rsidDel="00000000">
              <w:rPr>
                <w:rtl w:val="0"/>
              </w:rPr>
              <w:t xml:space="preserve"> 2. punktā noteikto nomas maksas pārskatīšanu un maiņu ne retāk kā Publiskas personas finanšu līdzekļu un mantas izšķērdēšanas novēršanas likumā noteiktajā termiņā, iznomātājs piemēro sertificēta vērtētāja noteikto nomas tirgus maksu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tiek lietots termins “zemesgabala tirgus nomas maksa,” attiecīgi arī šāds termins būtu lietojams 63.punktā. Vienlaikus norādām, ka minētais punkts dublē jau 56.</w:t>
            </w:r>
            <w:r w:rsidR="00000000" w:rsidRPr="00000000" w:rsidDel="00000000">
              <w:rPr>
                <w:vertAlign w:val="superscript"/>
                <w:rtl w:val="0"/>
              </w:rPr>
              <w:t xml:space="preserve">26 </w:t>
            </w:r>
            <w:r w:rsidR="00000000" w:rsidRPr="00000000" w:rsidDel="00000000">
              <w:rPr>
                <w:rtl w:val="0"/>
              </w:rPr>
              <w:t xml:space="preserve">2.punktā noteikto regulējumu, līdz ar to ņemot vērā, ka 63.punktā ir paredzēts pārejas regulējums – tas būtu attiecīgi precizējams, nosakot, piemēram, konkrēti uz ko tas attiecas, vai arī izvērtēt tā izslēgšanu no noteikumiem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Publiskas personas zemesgabalu iznomāšanas līgumos, kas noslēgti zemes dzīļu izmantošanai, iekļautie nosacījumi, kas neatbilst šo noteikumu prasībām, zaudē spēku ar 2023. gada 1. jūliju.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un lūdz papildināt anotāciju ar informāciju, kā Noteikumu projektā paredzētais: “publiskas personas zemesgabalu iznomāšanas līgumos, kas noslēgti zemes dzīļu izmantošanai, iekļautie nosacījumi, kas neatbilst šo noteikumu prasībām, zaudē spēku ar 2023.gada 1.jūliju” atbilst šobrīd normatīvajam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22.02.2023.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22.02.2023.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