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kārtību, kādā Izložu un azartspēļu uzraudzības inspekcija  sagatavo un nosūta augstākā līmeņa domēna ".lv" reģistra turētājam un elektronisko sakaru komersantam lēmumu par to, ka ierobežojama piekļuve Latvijā nelicencēta interaktīvo azartspēļu organizētāja tīmekļvietnei, kā arī lēmumā ietveramā pieprasījuma formu, lēmuma nosūtīšanas veidu, izpildes veidu un darbības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"Noteikumi par nelikumīga tiešsaistes satura ierobežošanu un informācijas pieprasīšanu no starpniecības pakalpojumu sniedzējiem" (turpmāk – projekts) 1.7. apakšpunktu atbilstoši Elektronisko sakaru likuma 109. panta septītajā daļā dotajam pilnvarojumam, precīzi to pārrakstot, ievērojot Ministru kabineta 2009. gada 3. februāra noteikumu Nr. 108 "Normatīvo aktu projektu sagatavošanas noteikumi" 100.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Šos noteikumus piemēro gadījumos, kad iestādes, kurām ir citos normatīvajos aktos noteiktas tiesības ierobežot nelikumīgu saturu tiešsaistē šajos normatīvajos aktos noteiktajā apmērā administratīvā procesa ietvaros vai pieprasīt informāciju no starpniecības pakalpojumu sniedzēja par to pakalpojumu saņēmējiem administratīvā procesa vai administratīvā pārkāpuma procesa ietvaros, piemēro šīs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2. punktu, ņemot vērā to, ka saskaņā ar Ministru kabineta 2009. gada 3. februāra noteikumu Nr. 108 "Normatīvo aktu projektu sagatavošanas noteikumi" 3.1. apakšpunktu normatīvā akta projektā neietver deklaratīvas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 lēmumu par piekļuves ierobežošanu tiešsaistes saskarnei elektronisko sakaru tīklā paredz piekļuves ierobežošanu (bloķēšanu) elektronisko sakaru komersanta elektronisko sakaru tīklā tīmekļvietnei vai mobilajai lietotnei, kurai ir interneta protokola adrese (IP adrese), ierobežojot (bloķējot) piekļuvi vai izmantojot citus tehnoloģiskos līdzekļus, ja tie ir pieejami elektronisko sakaru komersantam, kā arī, ja iestāde lēmumā to ir norādījusi, piekļuves pieprasījumu pārvirzīšanu (pāradresēšanu) uz šīs iestādes norādīto tīmekļvietni.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4., 11., 12. un 21. punktu, ņemot vērā to, ka tajos minētie lēmumi jau ir noteikti Patērētāju tiesību aizsardzības likuma 26.</w:t>
            </w:r>
            <w:r w:rsidR="00000000" w:rsidRPr="00000000" w:rsidDel="00000000">
              <w:rPr>
                <w:vertAlign w:val="superscript"/>
                <w:rtl w:val="0"/>
              </w:rPr>
              <w:t xml:space="preserve">15</w:t>
            </w:r>
            <w:r w:rsidR="00000000" w:rsidRPr="00000000" w:rsidDel="00000000">
              <w:rPr>
                <w:rtl w:val="0"/>
              </w:rPr>
              <w:t xml:space="preserve"> panta piektajā daļā, likuma "Par atbilstības novērtēšanu" 9.</w:t>
            </w:r>
            <w:r w:rsidR="00000000" w:rsidRPr="00000000" w:rsidDel="00000000">
              <w:rPr>
                <w:vertAlign w:val="superscript"/>
                <w:rtl w:val="0"/>
              </w:rPr>
              <w:t xml:space="preserve">7</w:t>
            </w:r>
            <w:r w:rsidR="00000000" w:rsidRPr="00000000" w:rsidDel="00000000">
              <w:rPr>
                <w:rtl w:val="0"/>
              </w:rPr>
              <w:t xml:space="preserve"> panta trešajā daļā un Elektronisko sakaru likuma 109. panta pirmajā daļā. Norādām, ka projekta izdošanas tiesiskajā pamatā esošo likumu normās dots pilnvarojums Ministru kabinetam noteikt kārtību, kādā sagatavo un nosūta konkrētos </w:t>
            </w:r>
            <w:r w:rsidR="00000000" w:rsidRPr="00000000" w:rsidDel="00000000">
              <w:rPr>
                <w:u w:val="single"/>
                <w:rtl w:val="0"/>
              </w:rPr>
              <w:t xml:space="preserve">likumā paredzētos lēmumus</w:t>
            </w:r>
            <w:r w:rsidR="00000000" w:rsidRPr="00000000" w:rsidDel="00000000">
              <w:rPr>
                <w:rtl w:val="0"/>
              </w:rPr>
              <w:t xml:space="preserve">, kā arī lēmumos ietveramā pieprasījuma formu, lēmumu nosūtīšanas veidu, lēmumu izpildes un darbības termiņu. Ievērojot minēto, lēmumi ir noteikti likumā un tie vēlreiz nav jānosauc projektā. Vienlaikus lūdzam attiecīgi precizēt projekta 27. un 30.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Lēmumā par piekļuves ierobežošanu tiešsaistes saskarnei elektronisko sakaru tīklā papildus Administratīvā procesa likuma 67.panta otrajā daļā noteiktajām administratīvā akta sastāvdaļām norāda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sabiedrības pakalpojumu likuma 19.</w:t>
            </w:r>
            <w:r w:rsidR="00000000" w:rsidRPr="00000000" w:rsidDel="00000000">
              <w:rPr>
                <w:vertAlign w:val="superscript"/>
                <w:rtl w:val="0"/>
              </w:rPr>
              <w:t xml:space="preserve">2</w:t>
            </w:r>
            <w:r w:rsidR="00000000" w:rsidRPr="00000000" w:rsidDel="00000000">
              <w:rPr>
                <w:rtl w:val="0"/>
              </w:rPr>
              <w:t xml:space="preserve"> panta trešās daļas 1. punktā paredzēts pilnvarojums Ministru kabinetam noteikt Digitālo pakalpojumu akta 9. pantā minētajā lēmumā norādāmo informāciju </w:t>
            </w:r>
            <w:r w:rsidR="00000000" w:rsidRPr="00000000" w:rsidDel="00000000">
              <w:rPr>
                <w:u w:val="single"/>
                <w:rtl w:val="0"/>
              </w:rPr>
              <w:t xml:space="preserve">papildus šā akta 9. pantā</w:t>
            </w:r>
            <w:r w:rsidR="00000000" w:rsidRPr="00000000" w:rsidDel="00000000">
              <w:rPr>
                <w:rtl w:val="0"/>
              </w:rPr>
              <w:t xml:space="preserve"> un citos likumos noteiktajām prasībām. Attiecīgi aicinām redakcionāli precizēt projekta 6. punkta ievaddaļu, kā arī citas projekta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svītrot projekta vienības, kurās tiek dublēta Digitālo pakalpojuma akta 9. panta 2. punktā minētā lēmumā (rīkojumā) ietveramā informācija. Piemēram, projekta 23.3. apakšpunktā tiek dublēts Digitālo pakalpojumu akta 9. panta 2. punkta "b"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saskaņā ar Līguma par Eiropas Savienības darbību 288.panta otro daļu "regulas ir vispārpiemērojamas. Tās uzliek saistības kopumā un ir tieši piemērojamas visās dalībvalstīs."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administratīvā procedūra regulā noteikto pasākumu īstenošanai u.tml. Reizē norādām, ka Eiropas Savienības Tiesa ir atzinusi, ka, ja regula prasa tās piemērošanai nodrošinošu nacionālā tiesību akta pieņemšanu, atsevišķos gadījumos tomēr var tikt pieļauta regulu teksta daļu inkorporēšana nacionālajos tiesību aktos (kā piemēru skatīt lietu Nr. 272/83 </w:t>
            </w:r>
            <w:r w:rsidR="00000000" w:rsidRPr="00000000" w:rsidDel="00000000">
              <w:rPr>
                <w:i w:val="1"/>
                <w:rtl w:val="0"/>
              </w:rPr>
              <w:t xml:space="preserve">Komisija v. Itālija</w:t>
            </w:r>
            <w:r w:rsidR="00000000" w:rsidRPr="00000000" w:rsidDel="00000000">
              <w:rPr>
                <w:rtl w:val="0"/>
              </w:rPr>
              <w:t xml:space="preserve">). Tomēr norādām, ka šis gadījums attaisnots vienīgi ar indivīdu interesēm saņemt tiem adresētu saskaņotu un labi uztveramu tiesību aktu, un regulu tiešā piemērojamība nepieļauj citus izņēmumus. Attiecīgi lūdzam izvērtēt un precizēt projektu, vai sniegt pamatotu skaidrojumu projekta sākotnējās ietekmes novērtējuma ziņojumā (turpmāk - anotācija) atbilstoši iepriekš minētajiem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norādi par to, ka ir vai nav jāsniedz informācija par lēmuma saņemšanu un izpildes gaitu atbilstoši Digitālo pakalpojumu akta 9.panta 1.punkta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6.3., 6.4., 14.2., 15.2., 16.3. un 23.4. apakšpunktu un projekta 31. punktu, ņemot vērā to, ka Digitālo pakalpojumu akta 9. panta 1. punkts paredz, ka, saņemot rīkojumu vērsties pret vienu vai vairākiem konkrētiem nelikumīga satura elementiem, kuru uz piemērojamo Savienības tiesību akta vai valsts tiesību aktu pamata ir izdevušas attiecīgās valsts tiesu vai administratīvās iestādes, starpniecības pakalpojumu sniedzēji saskaņā ar Savienības tiesību aktiem bez nepamatotas kavēšanās </w:t>
            </w:r>
            <w:r w:rsidR="00000000" w:rsidRPr="00000000" w:rsidDel="00000000">
              <w:rPr>
                <w:u w:val="single"/>
                <w:rtl w:val="0"/>
              </w:rPr>
              <w:t xml:space="preserve">informē rīkojumu izdevušo iestādi vai jebkādu citu iestādi, kas norādīta rīkojumā, par rīkojuma izpildi</w:t>
            </w:r>
            <w:r w:rsidR="00000000" w:rsidRPr="00000000" w:rsidDel="00000000">
              <w:rPr>
                <w:rtl w:val="0"/>
              </w:rPr>
              <w:t xml:space="preserve">, norādot, vai un kad rīkojums izpildīts. Proti, no minētā izriet, ka personai ir jāinformē iestāde par lēmuma izpildi, nevis par lēmuma saņemšanu.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Digitālo pakalpojumu koordinatora lēmums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no kuras projekta izdošanas tiesiskajā pamatā esošās likuma normas izriet Ministru kabineta tiesības noteikt projekta V nodaļā ietverto regulējumu, kā arī izvērtēt, vai šis regulējums atbilst Ministru kabinetam dotajam pilnvarojumam, nepieciešamības gadījumā precizējot projekta V nodaļā noteikto. Vēršam uzmanību uz to, ka no Patērētāju tiesību aizsardzības likuma, likuma "Par atbilstības novērtēšanu" un Elektronisko sakaru likuma izriet tiesības noteikt regulējumu attiecībā uz Patērētāju tiesību aizsardzības centra, Veselības inspekcijas un Izložu un azartspēļu uzraudzības inspekcijas lēmumiem, savukārt Informācijas sabiedrības pakalpojumu likums nav pilnvarojis Ministru kabinetu noteikt kārtību, kādā sagatavo lēmumus digitālo pakalpojumu koordinators, kā arī Digitālo pakalpojumu akta 9. panta pirmajā daļā nav tieši minēts, ka attiecīgos lēmumus varēs pieņemt arī digitālo pakalpojumu koordinators. Savukārt no Digitālo pakalpojumu akta 51. panta 3. punkta izriet, ka digitālo pakalpojumu koordinators iesaistās tajos gadījumos, kad komersants nav pildījis iestādes iepriekš izdoto lēmumu, proti, drīzāk secināms, ka digitālo pakalpojumu koordinators nepieņems vēl vienu tādu pašu lēmumu, kuru komersants jau nav pildījis.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Paziņojot šo noteikumu 4., 11., 12. vai 21.punktā minēto lēmumu vai pieprasot informāciju no starpniecības pakalpojumu sniedzēja par to pakalpojumu saņēmējiem, iestāde papildus nosūta minēto lēmumu vai informācijas pieprasījumu digitālo pakalpojumu koordinatoram atbilstoši Digitālo pakalpojumu akta 9.panta 3.punktam vai 10.panta 3.punktam.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Digitālo pakalpojumu akta 9. panta 3. punkts paredz, ka "</w:t>
            </w:r>
            <w:r w:rsidR="00000000" w:rsidRPr="00000000" w:rsidDel="00000000">
              <w:rPr>
                <w:i w:val="1"/>
                <w:rtl w:val="0"/>
              </w:rPr>
              <w:t xml:space="preserve">[r]īkojuma izdevējiestāde vai attiecīgā gadījumā iestāde, kas norādīta rīkojumā, nosūta rīkojumu kopā ar jebkuru citu no starpniecības pakalpojumu sniedzēja saņemto informāciju par minētā rīkojuma izpildi izdevējiestādes dalībvalsts digitālo pakalpojumu koordinatoram</w:t>
            </w:r>
            <w:r w:rsidR="00000000" w:rsidRPr="00000000" w:rsidDel="00000000">
              <w:rPr>
                <w:rtl w:val="0"/>
              </w:rPr>
              <w:t xml:space="preserve">" (sk. arī 10. panta 3. punktu). Attiecīgi lūdzam svītrot projekta normu, nepārrakstot Digitālo pakalpojuma akta 9. panta 3. punktu un 10. panta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Pieņemot šo noteikumu 4.minēto lēmumu iestāde var izvēlēties, vai elektronisko sakaru komersantam ir jāsniedz Digitālo pakalpojumu akta 9.panta 1.punktā minētā informācija par lēmuma vai informācijas pieprasījuma saņemšanu un izpildes gaitu.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31. punktu vai sniegt pamatotu skaidrojumu par tajā ietvertā regulējuma atbilstību Digitālā pakalpojumu akta prasībām. Digitālā pakalpojumu akta 9. panta 1. punkts noteic, ka "</w:t>
            </w:r>
            <w:r w:rsidR="00000000" w:rsidRPr="00000000" w:rsidDel="00000000">
              <w:rPr>
                <w:i w:val="1"/>
                <w:rtl w:val="0"/>
              </w:rPr>
              <w:t xml:space="preserve">starpniecības pakalpojumu sniedzēji saskaņā ar Savienības tiesību aktiem bez nepamatotas kavēšanās </w:t>
            </w:r>
            <w:r w:rsidR="00000000" w:rsidRPr="00000000" w:rsidDel="00000000">
              <w:rPr>
                <w:i w:val="1"/>
                <w:u w:val="single"/>
                <w:rtl w:val="0"/>
              </w:rPr>
              <w:t xml:space="preserve">informē rīkojumu izdevušo iestādi vai jebkādu citu iestādi, kas norādīta rīkojumā, </w:t>
            </w:r>
            <w:r w:rsidR="00000000" w:rsidRPr="00000000" w:rsidDel="00000000">
              <w:rPr>
                <w:b w:val="1"/>
                <w:i w:val="1"/>
                <w:u w:val="single"/>
                <w:rtl w:val="0"/>
              </w:rPr>
              <w:t xml:space="preserve">par rīkojuma izpildi</w:t>
            </w:r>
            <w:r w:rsidR="00000000" w:rsidRPr="00000000" w:rsidDel="00000000">
              <w:rPr>
                <w:i w:val="1"/>
                <w:u w:val="single"/>
                <w:rtl w:val="0"/>
              </w:rPr>
              <w:t xml:space="preserve">, norādot, vai un kad rīkojums izpildīts</w:t>
            </w:r>
            <w:r w:rsidR="00000000" w:rsidRPr="00000000" w:rsidDel="00000000">
              <w:rPr>
                <w:rtl w:val="0"/>
              </w:rPr>
              <w:t xml:space="preserve">" (sk. arī 2. punkta "a" apakšpunkta "vi" punktu). Regulas 2022/2065 10. panta 1. punkts citastarp paredz, ka "</w:t>
            </w:r>
            <w:r w:rsidR="00000000" w:rsidRPr="00000000" w:rsidDel="00000000">
              <w:rPr>
                <w:i w:val="1"/>
                <w:rtl w:val="0"/>
              </w:rPr>
              <w:t xml:space="preserve">starpniecības pakalpojumu sniedzēji bez nepamatotas kavēšanās </w:t>
            </w:r>
            <w:r w:rsidR="00000000" w:rsidRPr="00000000" w:rsidDel="00000000">
              <w:rPr>
                <w:i w:val="1"/>
                <w:u w:val="single"/>
                <w:rtl w:val="0"/>
              </w:rPr>
              <w:t xml:space="preserve">informē rīkojumu izdevušo iestādi vai jebkuru citu rīkojumā norādītu iestādi </w:t>
            </w:r>
            <w:r w:rsidR="00000000" w:rsidRPr="00000000" w:rsidDel="00000000">
              <w:rPr>
                <w:b w:val="1"/>
                <w:i w:val="1"/>
                <w:u w:val="single"/>
                <w:rtl w:val="0"/>
              </w:rPr>
              <w:t xml:space="preserve">par tā saņemšanu un par rīkojuma izpildi</w:t>
            </w:r>
            <w:r w:rsidR="00000000" w:rsidRPr="00000000" w:rsidDel="00000000">
              <w:rPr>
                <w:i w:val="1"/>
                <w:u w:val="single"/>
                <w:rtl w:val="0"/>
              </w:rPr>
              <w:t xml:space="preserve">, norādot, vai un kad rīkojums izpildīts</w:t>
            </w:r>
            <w:r w:rsidR="00000000" w:rsidRPr="00000000" w:rsidDel="00000000">
              <w:rPr>
                <w:rtl w:val="0"/>
              </w:rPr>
              <w:t xml:space="preserve">" (sk. arī 2. punkta "a" apakšpunkta "vi" punktu). Attiecīgi lūdzam svītrot normu, kā arī citviet precizēt projektu. Alternatīvi lūdzam sniegt pamatotu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Digitālo pakalpojumu akta 9. panta 1. punktā nav minēts, ka starpniecības pakalpojumu sniedzējam nepieciešams informēt rīkojumu izdevušo iestādi vai jebkādu citu iestādi, kas norādīta rīkojumā, </w:t>
            </w:r>
            <w:r w:rsidR="00000000" w:rsidRPr="00000000" w:rsidDel="00000000">
              <w:rPr>
                <w:u w:val="single"/>
                <w:rtl w:val="0"/>
              </w:rPr>
              <w:t xml:space="preserve">par rīkojuma saņemšanu</w:t>
            </w:r>
            <w:r w:rsidR="00000000" w:rsidRPr="00000000" w:rsidDel="00000000">
              <w:rPr>
                <w:rtl w:val="0"/>
              </w:rPr>
              <w:t xml:space="preserve">. Attiecīgi šajā aspektā lūdzam vai nu precizēt projektu (piemēram, bet ne tikai, 14.2. apakšpunktu), svītrojot šādu prasību, vai arī anotācijā pamatot stingrāku prasību noteikšanu, nekā paredz Digitālo pakalpojumu akta 9. panta 1.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aizpildīt anotācijas 5.1. apakšsadaļu un 5.4. apakšsadaļas 1. tabulu ar atbilstošu informāciju par Digitālo pakalpojumu akta normu ieviešanu projektā. Kā pareizi skaidrots anotācijas 5.3. apakšsadaļā, regulas ir tieši piemērojamas. Reizē norādām, ka tai pašā laikā ir jānodrošina regulu tieša piemērošana katrā dalībvalstī un var būt nepieciešami kādi pasākumi regulas ieviešanai. Dalībvalstij ir arī pienākums nodrošināt tādu normatīvo bāzi, lai regulas būtu iespējams tieši piemērot, tostarp, ja vajadzīgs, izstrādājot jaunus normatīvos aktus vai veicot grozījumus jau esošajos normatīvajos aktos. Citastarp arī atsauču uz regulu un tās vienībām ietveršana normatīvajos aktos pēc būtības ir regulas prasību ieviešana, jo tādējādi tiek nodrošināta regulas prasību praktiskā piemērošana. Attiecīgi, ņemot vērā minēto, lūdzam aizpildīt anotācijas 5.1. apakšsadaļu un 5.4. apakšsadaļas 1. tabulu.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Informācijas sabiedrības pakalpojuma likuma 19.</w:t>
            </w:r>
            <w:r w:rsidR="00000000" w:rsidRPr="00000000" w:rsidDel="00000000">
              <w:rPr>
                <w:vertAlign w:val="superscript"/>
                <w:rtl w:val="0"/>
              </w:rPr>
              <w:t xml:space="preserve">2</w:t>
            </w:r>
            <w:r w:rsidR="00000000" w:rsidRPr="00000000" w:rsidDel="00000000">
              <w:rPr>
                <w:rtl w:val="0"/>
              </w:rPr>
              <w:t xml:space="preserve"> panta trešo daļu, Patērētāju tiesību aizsardzības likuma 26.</w:t>
            </w:r>
            <w:r w:rsidR="00000000" w:rsidRPr="00000000" w:rsidDel="00000000">
              <w:rPr>
                <w:vertAlign w:val="superscript"/>
                <w:rtl w:val="0"/>
              </w:rPr>
              <w:t xml:space="preserve">15</w:t>
            </w:r>
            <w:r w:rsidR="00000000" w:rsidRPr="00000000" w:rsidDel="00000000">
              <w:rPr>
                <w:rtl w:val="0"/>
              </w:rPr>
              <w:t xml:space="preserve"> panta desmito daļu, Atbilstības novērtēšanas likuma 9.</w:t>
            </w:r>
            <w:r w:rsidR="00000000" w:rsidRPr="00000000" w:rsidDel="00000000">
              <w:rPr>
                <w:vertAlign w:val="superscript"/>
                <w:rtl w:val="0"/>
              </w:rPr>
              <w:t xml:space="preserve">7</w:t>
            </w:r>
            <w:r w:rsidR="00000000" w:rsidRPr="00000000" w:rsidDel="00000000">
              <w:rPr>
                <w:rtl w:val="0"/>
              </w:rPr>
              <w:t xml:space="preserve"> panta piekto daļu un Elektronisko sakaru likuma 109. panta septīto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izdošanas tiesiskajā pamatā ietverto atsauci uz Atbilstības novērtēšanas likumu, ņemot vērā to, ka pareizs likuma nosaukums ir likums "Par atbilstības novērtēšanu".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Lēmumu par piekļuves ierobežošanu tiešsaistes saskarnei elektronisko sakaru tīklā lēmuma adresātam – elektronisko sakaru komersantam – nosūta uz elektroniskā pasta adresi vai oficiālo elektronisko adresi. Ja tiešsaistes saskarnes valdītāja (trešās personas) elektroniskā pasta adrese vai oficiālā elektroniskā adrese ir norādīta tā tiešsaistes saskarnē, lēmumu par tiešsaistes saskarnes ierobežošanu elektronisko sakaru tīklā nosūta šīs tiešsaistes saskarnes valdītājam uz elektroniskā pasta adresi vai oficiālo elektronisko adresi.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par to, ka projekta 5., 7., 13., 17., 22. un 24. punktā paredzētā lēmuma nosūtīšana ir Administratīvā procesa likuma 70. panta otrajā daļā un 71. panta pirmajā daļā paredzētā administratīvā akta paziņošana. No projekta izdošanas tiesiskajā pamatā esošajiem pilnvarojumiem izriet, ka Ministru kabinets ir tiesīgs noteikt lēmumu nosūtīšanas veidu, vienlaikus, ņemot vērā projekta 8., 18. un 25. punktā noteikto, lēmums izpildāms no dienas, kad tas ir paziņots. Tādējādi ar lēmuma nosūtīšanu faktiski tiek veikta lēmuma paziņošana.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ja atbilstoši 6.4.apakšpunktam tiek norādīts, ka šāda informācija ir jāsniedz, norādi par to, ka informācija par lēmuma saņemšanu un izpildes gaitu atbilstoši Digitālo pakalpojumu akta 9.panta 1.punkta prasībām jānosūta iestādei, kas izdeva šo lēmumu, un digitālo pakalpojumu koordinatoram, kā arī, ja nepieciešams, citai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6.4. apakšpunktā precizēt atsauci uz projekta 6.4. apakšpunktu, ņemot vērā to, ka visticamāk domāta atsauce uz projekta 6.3.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šo noteikumu 4., 11.,12. vai 21.punktā minēto lēmumu pieņem digitālo pakalpojumu koordinators atbilstoši Digitālo pakalpojumu akta 51.panta 3.punktā noteiktajiem nosacījumiem, tas adresātam kopā ar lēmumu nosūta Informācijas sabiedrības pakalpojumu likuma 19.</w:t>
            </w:r>
            <w:r w:rsidR="00000000" w:rsidRPr="00000000" w:rsidDel="00000000">
              <w:rPr>
                <w:vertAlign w:val="superscript"/>
                <w:rtl w:val="0"/>
              </w:rPr>
              <w:t xml:space="preserve">4</w:t>
            </w:r>
            <w:r w:rsidR="00000000" w:rsidRPr="00000000" w:rsidDel="00000000">
              <w:rPr>
                <w:rtl w:val="0"/>
              </w:rPr>
              <w:t xml:space="preserve"> panta ceturtajā daļā minēto tiesneša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27. punktu. Vēršam uzmanību, ka tiesu iestādes rīkojuma izdošana minēta tieši Digitālo pakalpojumu akta 51. panta 3. punkta pirmās daļas "b" apakšpunktā (sk. arī Informācijas sabiedrības pakalpojumu likuma 19.</w:t>
            </w:r>
            <w:r w:rsidR="00000000" w:rsidRPr="00000000" w:rsidDel="00000000">
              <w:rPr>
                <w:vertAlign w:val="superscript"/>
                <w:rtl w:val="0"/>
              </w:rPr>
              <w:t xml:space="preserve">4</w:t>
            </w:r>
            <w:r w:rsidR="00000000" w:rsidRPr="00000000" w:rsidDel="00000000">
              <w:rPr>
                <w:rtl w:val="0"/>
              </w:rPr>
              <w:t xml:space="preserve"> panta ceturto daļu). Lūdzam precizēt arī anotācijā ietvertos skaidrojumus.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Paziņojot šo noteikumu 4., 11., 12. vai 21.punktā minēto lēmumu vai pieprasot informāciju no starpniecības pakalpojumu sniedzēja par to pakalpojumu saņēmējiem, iestāde papildus nosūta minēto lēmumu vai informācijas pieprasījumu digitālo pakalpojumu koordinatoram atbilstoši Digitālo pakalpojumu akta 9.panta 3.punktam vai 10.panta 3.punktam.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30. punktā vārdu "paziņojot" aizstāt ar vārdu "nosūtot", ņemot vērā to, ka atbilstoši projekta izdošanas tiesiskajā pamatā esošajiem pilnvarojumiem Ministru kabinetam ir jānosaka </w:t>
            </w:r>
            <w:r w:rsidR="00000000" w:rsidRPr="00000000" w:rsidDel="00000000">
              <w:rPr>
                <w:u w:val="single"/>
                <w:rtl w:val="0"/>
              </w:rPr>
              <w:t xml:space="preserve">lēmumu nosūtīšanas veidu</w:t>
            </w:r>
            <w:r w:rsidR="00000000" w:rsidRPr="00000000" w:rsidDel="00000000">
              <w:rPr>
                <w:rtl w:val="0"/>
              </w:rPr>
              <w:t xml:space="preserve"> un projektā ir paredzēts, ka šos lēmumus nosūta. Vienlaikus aicinām projekta 30. punktā vārdu "nosūta" aizstāt ar vārdu "paziņo", ņemot vērā to, ka no projekta 1.5. apakšpunkta izriet, ka projekts nosaka kārtību, kādā Digitālo pakalpojumu akta 9. pantā minēto lēmumu vai šā akta 10. pantā minēto informācijas pieprasījumu un informāciju par tā izpildi, kā arī citiem dokumentiem </w:t>
            </w:r>
            <w:r w:rsidR="00000000" w:rsidRPr="00000000" w:rsidDel="00000000">
              <w:rPr>
                <w:u w:val="single"/>
                <w:rtl w:val="0"/>
              </w:rPr>
              <w:t xml:space="preserve">paziņo</w:t>
            </w:r>
            <w:r w:rsidR="00000000" w:rsidRPr="00000000" w:rsidDel="00000000">
              <w:rPr>
                <w:rtl w:val="0"/>
              </w:rPr>
              <w:t xml:space="preserve"> digitālo pakalpojumu koordinatoram.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16.12.2024. 08.48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16.12.2024. 08.48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