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Konkursa ietvaros pieejamais finanšu instrumenta finansējums (turpmāk – finansējums) ir 40 000 000 euro,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29.04.2025.</w:t>
            </w:r>
            <w:r w:rsidR="00000000" w:rsidRPr="00000000" w:rsidDel="00000000">
              <w:rPr>
                <w:u w:val="single"/>
                <w:rtl w:val="0"/>
              </w:rPr>
              <w:t xml:space="preserve"> </w:t>
            </w:r>
            <w:r w:rsidR="00000000" w:rsidRPr="00000000" w:rsidDel="00000000">
              <w:rPr>
                <w:rtl w:val="0"/>
              </w:rPr>
              <w:t xml:space="preserve">sēdes protokola Nr. 17 33.§ trešajā punktā ir rakstīts: “Klimata un enerģētikas ministrijai</w:t>
            </w:r>
            <w:r w:rsidR="00000000" w:rsidRPr="00000000" w:rsidDel="00000000">
              <w:rPr>
                <w:b w:val="1"/>
                <w:rtl w:val="0"/>
              </w:rPr>
              <w:t xml:space="preserve"> </w:t>
            </w:r>
            <w:r w:rsidR="00000000" w:rsidRPr="00000000" w:rsidDel="00000000">
              <w:rPr>
                <w:u w:val="single"/>
                <w:rtl w:val="0"/>
              </w:rPr>
              <w:t xml:space="preserve">līdz 2025. gada</w:t>
            </w:r>
            <w:r w:rsidR="00000000" w:rsidRPr="00000000" w:rsidDel="00000000">
              <w:rPr>
                <w:b w:val="1"/>
                <w:u w:val="single"/>
                <w:rtl w:val="0"/>
              </w:rPr>
              <w:t xml:space="preserve"> </w:t>
            </w:r>
            <w:r w:rsidR="00000000" w:rsidRPr="00000000" w:rsidDel="00000000">
              <w:rPr>
                <w:u w:val="single"/>
                <w:rtl w:val="0"/>
              </w:rPr>
              <w:t xml:space="preserve">1. oktobrim</w:t>
            </w:r>
            <w:r w:rsidR="00000000" w:rsidRPr="00000000" w:rsidDel="00000000">
              <w:rPr>
                <w:rtl w:val="0"/>
              </w:rPr>
              <w:t xml:space="preserve"> nodrošināt Metodikas klimata pārmaiņu mazināšanas pasākumu sagatavošanai un izmaksu efektivitātes izvērtējumam Emisijas kvotu izsolīšanas instrumenta ietvaros izstrādi un Emisijas kvotu izsolīšanas instrumenta darbības stratēģijas sagatavošanu un noteiktā kārtībā iesniegt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Klimatnoturības un ekonomiskās ilgtspējas likums 15. panta pirmā daļa paredz "Klimata un enerģētikas ministrija iesniedz Ministru kabinetam informatīvo ziņojumu par emisijas kvotu izsoļu ieņēmumu izmantošanas stratēģiju, ietverot prioritāros virzienus izsoļu ieņēmumu izmantošanai.", bet pārejas noteikumu 10. punktā teikts "Šā likuma 15. panta pirmajā daļā minēto informatīvo ziņojumu Klimata un enerģētikas ministrija iesniedz izskatīšanai Ministru kabinetā</w:t>
            </w:r>
            <w:r w:rsidR="00000000" w:rsidRPr="00000000" w:rsidDel="00000000">
              <w:rPr>
                <w:u w:val="single"/>
                <w:rtl w:val="0"/>
              </w:rPr>
              <w:t xml:space="preserve"> līdz 2026. gada 28. februārim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Ministru kabineta 21.04.2026. sēdes protokols Nr. 22 43. § piektajā punktā ir rakstīts "Klimata un enerģētikas ministrijai </w:t>
            </w:r>
            <w:r w:rsidR="00000000" w:rsidRPr="00000000" w:rsidDel="00000000">
              <w:rPr>
                <w:u w:val="single"/>
                <w:rtl w:val="0"/>
              </w:rPr>
              <w:t xml:space="preserve">līdz</w:t>
            </w:r>
            <w:r w:rsidR="00000000" w:rsidRPr="00000000" w:rsidDel="00000000">
              <w:rPr>
                <w:b w:val="1"/>
                <w:u w:val="single"/>
                <w:rtl w:val="0"/>
              </w:rPr>
              <w:t xml:space="preserve"> </w:t>
            </w:r>
            <w:r w:rsidR="00000000" w:rsidRPr="00000000" w:rsidDel="00000000">
              <w:rPr>
                <w:u w:val="single"/>
                <w:rtl w:val="0"/>
              </w:rPr>
              <w:t xml:space="preserve">2026. gada 1. jūlijam </w:t>
            </w:r>
            <w:r w:rsidR="00000000" w:rsidRPr="00000000" w:rsidDel="00000000">
              <w:rPr>
                <w:rtl w:val="0"/>
              </w:rPr>
              <w:t xml:space="preserve">sagatavot un iesniegt izskatīšanai Ministru kabinetā emisijas kvotu izsoļu ieņēmumu izmantošanas stratēģiju, kurā ietvert prioritāros virzienus izsoļu ieņēmumu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Ministru kabineta 19.05.2026. sēdes protokols Nr. 28 47. § trešajā punktā rakstīts "Klimata un enerģētikas ministrijai sadarbībā ar Finanšu ministriju līdz 2026. gada 30. decembrim izstrādāt risinājumu, kā Emisijas kvotu izsolīšanas instrumenta finansējums daļēji novirzāms Energoresursu cenu ārkārtēja pieauguma samazinājuma pasākumu likumā noteikto atbalsta pasākumu īstenošanai un ar to administrēšanu saistīto izdevumu segšanai gadījumā, ja 2026./2027. gada apkures sezonā saistībā ar Tuvo Austrumu krīzi iestājas ārkārtējs energoresursu cenu pieaugums.".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Lai nodrošinātu EKII finansējuma izlietošanu saskaņā ar EKII ieņēmumu izmantošanas stratēģiju </w:t>
            </w:r>
            <w:r w:rsidR="00000000" w:rsidRPr="00000000" w:rsidDel="00000000">
              <w:rPr>
                <w:rtl w:val="0"/>
              </w:rPr>
              <w:t xml:space="preserve">(Klimata un enerģētikas ministrija norādījusi, ka tā ir izstrādē), </w:t>
            </w:r>
            <w:r w:rsidR="00000000" w:rsidRPr="00000000" w:rsidDel="00000000">
              <w:rPr>
                <w:u w:val="single"/>
                <w:rtl w:val="0"/>
              </w:rPr>
              <w:t xml:space="preserve">kā arī nepieciešamo finansējumu, ja 2026./2027. gada apkures sezonā saistībā ar Tuvo Austrumu krīzi iestājas ārkārtējs energoresursu cenu pieaugums</w:t>
            </w:r>
            <w:r w:rsidR="00000000" w:rsidRPr="00000000" w:rsidDel="00000000">
              <w:rPr>
                <w:rtl w:val="0"/>
              </w:rPr>
              <w:t xml:space="preserve">,</w:t>
            </w:r>
            <w:r w:rsidR="00000000" w:rsidRPr="00000000" w:rsidDel="00000000">
              <w:rPr>
                <w:b w:val="1"/>
                <w:rtl w:val="0"/>
              </w:rPr>
              <w:t xml:space="preserve"> turpmāka EKII finansējuma izlietošana jāveic pēc EKII ieņēmumu izmantošanas</w:t>
            </w:r>
            <w:r w:rsidR="00000000" w:rsidRPr="00000000" w:rsidDel="00000000">
              <w:rPr>
                <w:b w:val="1"/>
                <w:rtl w:val="0"/>
              </w:rPr>
              <w:t xml:space="preserve"> stratēģijas apstiprināšanas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projekta iesniedzējam, atbalsta saņēmējam vai sadarbības partnerim ir pasludināts maksātnespējas process, ierosināta tiesiskās aizsardzības procesa lieta vai tiek īstenots tiesiskās aizsardzības process, apturēta vai pārtraukta projekta iesniedzēja saimnieciskā darbība vai sadarbības partneris tiek likvidēts;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19.3. un 19.9.apakšpunkti dublē nosacījumus attiecībā uz maksātnespējas procesu sadarbības partnerim. Vienlaikus vēršam uzmanību, ka noteikumu projekta 19.3.apakšpunktā minētie ierobežojumi – pasludināts maksātnespējas process,  saimnieciskās darbības apturēšana vai pārtraukšana nav attiecināms uz projekta iesniedzēju – pašvaldību. Līdz ar to lūdzam precizēt noteikumu projekta 19.3.apakšpunktu, kā arī noteikumu projekta 19.9.apakšpunktā svītrot nosacījumu, kas paredz, ka projekta iesniedzējam pasludināts maksātnespējas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Projekta iesnieguma vērtēšana un lēmuma pieņemšana par finansējuma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iespēju projekta īstenošanai piesaistīt sadarbības partneri, aicinām papildināt noteikumu projekta 8.sadaļu ar normu, kas nosaka subjektu (atbalsta sniedzēju), kas pieņems lēmumu par finansējuma piešķiršanu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anotācijas 3.sadaļā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dzēst 2028.gadam un 2029.gadam 1.3.apakšpunktos norādīto pašvaldības budžeta finansējumu, jo saskaņā ar noteikumu projektu pašvaldībām kā finansējuma saņēmējiem ir jānodrošina līdzfinansējums, kas attiecīgi būs pašvaldību budžeta izdevumi nevis pašvaldību budžeta ieņēmumi, un ir norādāms tikai 2.3.apakšpunktā;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ir norādīts, ka finansējuma piešķiršana projektu īstenošanai tiks uzsākta 2026. gadā, piešķirot 60% no kopējā pieejamā finansējuma apjoma, vienlaikus ietekmes ir norādītas sākot ar 2027.gadu, attiecīgi nepieciešams pārskatīt un precizēt 1.1., 2.1. un 2.3. apakšpunktos norādīto, kā arī 6.punkta tabulā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5.3.apakšpunktus;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pārskatīt un precizēt norādīto pašvaldību budžeta līdzfinansējumu, jo, ja noteikumu projektā paredzēts, ka Emisijas kvotu izsolīšanas instrumenta atbalsta intensitāte nepārsniedz 85% no projekta kopējām attiecināmajām izmaksām, tad šobrīd norādītā informācija 6.punkta tabulā liecina, ka intensitāte ir lielāka (kopā izmaksas 46 000 000 euro, EKII finansējums 40 000 000 euro, kas veido 86,96%).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papildināt 6.punktu ar šādu informāciju: “Ņemot vērā, ka projekta iesniedzējs ir Latvijas Republikas pašvaldība un konkursa ietvaros maksimāli pieļaujamā finanšu instrumenta atbalsta intensitāte nepārsniedz 85 % no projekta kopējām attiecināmajām izmaksām, prognozējamā noteikumu projekta finansiālā ietekme uz pašvaldību budžetiem būs 15% no projekta prognozējamām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punktā “Cita informācija”  norādīto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Konkursa ietvaros pieejamais Emisijas kvotu izsolīšanas instrumenta finansējums ir 40 000 000 euro. Finansējuma saņēmējam pieejamie maksājumi un maksāšanas kārtība ir noteikta noteikumu XI nodaļā. Emisijas kvotu izsolīšanas instrumenta finansējums tiks plānots KEM budžeta programmas 33.00.00 "Emisijas kvotu izsoļu ieņēmumu instrumenti" apakšprogrammā 33.02.00 "Emisijas kvotu izsolīšanas instrumenta projekti" atbilstoši faktiski konkursa ietvaros apstiprināto projektu naudas plūsmu prognozēm, finanšu līdzekļus pieprasot un saņemot normatīvajos aktos noteiktajā kārtībā no budžeta resora “74.Gadskārtējā valsts budžeta izpildes procesā pārdalāmais finansējums” budžeta programmas 80.00.00 “Nesadalītais finansējums Eiropas Savienības politiku instrumentu un pārējās ārvalstu finanšu palīdzības līdzfinansēto projektu un pasākumu īstenošanai.</w:t>
            </w:r>
            <w:r w:rsidR="00000000" w:rsidRPr="00000000" w:rsidDel="00000000">
              <w:rPr>
                <w:i w:val="1"/>
                <w:rtl w:val="0"/>
              </w:rPr>
              <w:t xml:space="preserve">Līdzfinansējumu konkursa projektu īstenošanai finansējuma saņēmēji un sadarbības partneri nodrošinās savu līdzekļu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MK noteikumu projekta 15.punktu projekta iesniedzējs ir pašvaldība, lūdzam atbilstoši precizēt anotācijas 3.sadaļas 6.punkta pēdējo teikumu (zem tabulas).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sabiedrisko ūdenssaimniecības pakalpojumu sniedzējam piešķirto ekskluzīvo vai īpašo tiesību būtību, tai skaitā norādot atbilstošo pašvaldības administratīvo teritoriju vai pašvaldības administratīvās teritorijas daļu un konkrētos sniedzamos sabiedriskos ūdenssaimniecības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18.4.apakšpunkts paredz noteikt "</w:t>
            </w:r>
            <w:r w:rsidR="00000000" w:rsidRPr="00000000" w:rsidDel="00000000">
              <w:rPr>
                <w:i w:val="1"/>
                <w:rtl w:val="0"/>
              </w:rPr>
              <w:t xml:space="preserve">sabiedrisko ūdenssaimniecības pakalpojumu sniegšanas teritoriju</w:t>
            </w:r>
            <w:r w:rsidR="00000000" w:rsidRPr="00000000" w:rsidDel="00000000">
              <w:rPr>
                <w:rtl w:val="0"/>
              </w:rPr>
              <w:t xml:space="preserve">", kā arī 18.5.apakšpunkts paredz noteikt "</w:t>
            </w:r>
            <w:r w:rsidR="00000000" w:rsidRPr="00000000" w:rsidDel="00000000">
              <w:rPr>
                <w:i w:val="1"/>
                <w:rtl w:val="0"/>
              </w:rPr>
              <w:t xml:space="preserve">atbilstošo pašvaldības administratīvo teritoriju vai pašvaldības administratīvās teritorijas daļu un konkrētos sniedzamos sabiedriskos ūdenssaimniecības pakalpojumus</w:t>
            </w:r>
            <w:r w:rsidR="00000000" w:rsidRPr="00000000" w:rsidDel="00000000">
              <w:rPr>
                <w:rtl w:val="0"/>
              </w:rPr>
              <w:t xml:space="preserve">", lūdzam pārskatīt noteikumu projektu, novēršot normu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kompensācija par sabiedriskajiem pakalpojumiem sadarbības partnerim (ja attiecināms) saskaņā ar Komisijas 2025. gada 16. decembra lēmumu Nr. 2025/2630/ES par Līguma par Eiropas Savienības darbību 106.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16.punkta secināms, ka tikai noteikumu projekta 16.2.apakšpunktā minētie sabiedrisko ūdenssaimniecības pakalpojumu sniedzēji ir tie subjekti, kuriem atbalsts tiks piešķirts saskaņā ar VTNP lēmumu, aicinām noteikumu projekta 22.9.apakšpunktā dzēst vārdus "(ja attiecināms)" un iekļaut atsauci uz noteikumu projekta 16.2.apakšpunktu. Gadījumā, ja arī šo noteikumu projekta 16.1.apakšunktā minētajām publiski privātajām kapitālsabiedrībām ir paredzēts atbalsts to saimnieciskās darbības īstenošanai, lūdzam precizēt noteikumu projektu, attiecinot piemērojamā komercdarbības atbalsta regulējuma nosacījumus, arī attiecībā uz šiem sadarbības partneriem. Vienlaikus vēršam uzmanību, ka noteikumu projekta 22.9.apakšpunktā ir iekļauts neprecīzs VTNP lēmuma numurs un nosaukums, aicinām precizēt noteikumu 22.9.apakšpunktu, tajā norādot korektu VTNP lēmuma numuru un nosaukumu, proti, </w:t>
            </w:r>
            <w:r w:rsidR="00000000" w:rsidRPr="00000000" w:rsidDel="00000000">
              <w:rPr>
                <w:i w:val="1"/>
                <w:rtl w:val="0"/>
              </w:rPr>
              <w:t xml:space="preserve">Komisijas 2025.gada 16.decembra lēmums Nr.2025/2630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projektā tiek iekļautas darbības, kas ir saistītas ar sabiedriskā ūdenssaimniecības pakalpojuma sniegšanu, projekta iesniedzējs iesniedz Vides investīciju fondam vispārējas tautsaimnieciskas nozīmes pakalpojuma pilnvarojuma uzlicēja apliecinājumu par šo noteikumu </w:t>
            </w:r>
            <w:r w:rsidR="00000000" w:rsidRPr="00000000" w:rsidDel="00000000">
              <w:rPr>
                <w:rtl w:val="0"/>
              </w:rPr>
              <w:t xml:space="preserve">18.6.</w:t>
            </w:r>
            <w:r w:rsidR="00000000" w:rsidRPr="00000000" w:rsidDel="00000000">
              <w:rPr>
                <w:rtl w:val="0"/>
              </w:rPr>
              <w:t xml:space="preserve"> apakšpunktā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34.punktā ir paredzēts, ka gadījumā, ja projektā tiek iekļautas darbības, kas ir saistītas ar sabiedriskā ūdenssaimniecības pakalpojuma sniegšanu, projekta iesniedzējam ir jāiesniedz Vides investīciju fondam vispārējas tautsaimnieciskas nozīmes pakalpojuma pilnvarojuma uzlicēja apliecinājumu par šo noteikumu 18.6. apakšpunktā minētās atlīdzības (kompensācijas) maksājumu kontroli un pārskatīšanu, kā arī minēto atlīdzības (kompensācijas) maksājumu pārmaksas novēršanu un atgūšanu, aicinām izvērtēt nepieciešamību papildināt noteikumu projekta 41.punktā norādīto iesnieguma saturu ar 34.punktā ietverto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Sabiedrisko ūdenssaimniecības pakalpojumu sniedzējam kā grūtībās nonākušam uzņēmumam komercdarbības atbalsts netiek piešķirts, ja tas atbilst vismaz vienai no Eiropas Komisijas 2014. gada 17. jūnija Regulas Nr. 651/2014, ar ko noteiktas atbalsta kategorijas atzīst par saderīgām ar iekšējo tirgu, piemērojot Līguma 107. un 108. pantu (Eiropas Savienības Oficiālais Vēstnesis, 2014. gada 26. jūnijs, Nr. L 187), 2. panta 18. punktā noteiktajām pazīmēm. Grūtībās nonākuša uzņēmuma pazīmes vērtē individuāli sabiedrisko ūdenssaimniecības pakalpojumu sniedzējam un ar to saistīto personu grupai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VTNP lēmums neparedz grūtībās nonākuša uzņēmuma kritērija pārbaudi. Vienlaikus no noteikumu projekta 35.punkta pēdējā teikuma nav skaidrs, kas būs tie gadījumi, kad grūtībās nonākuša uzņēmuma pazīmes nevērtēs attiecībā uz sabiedrisko ūdenssaimniecības pakalpojumu sniedzēja saistīto personu grupu, ņemot vērā, ka šāds nosacījums neatbilst Komisijas 2014.gada 17.jūnija Regulas Nr.651/2014, ar ko noteiktas atbalsta kategorijas atzīst par saderīgām ar iekšējo tirgu, piemērojot Līguma 107. un 108. pantu (turpmāk - Komisijas regula Nr.651/2014) 2.panta 18.punktā noteiktajam. Attiecīgi lūdzam dzēst vārdu iekavās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šobrīd Eiropas Komisija izstrādā regulu (ko plāno pieņemt 2026.gada beigās, un kas stāsies spēkā 2027.gada sākumā), kas aizstās Komisijas regulu Nr.651/2014, aicinām papildināt noteikumu projekta 35.punkta pirmo teikumu ar vārdiem "</w:t>
            </w:r>
            <w:r w:rsidR="00000000" w:rsidRPr="00000000" w:rsidDel="00000000">
              <w:rPr>
                <w:i w:val="1"/>
                <w:rtl w:val="0"/>
              </w:rPr>
              <w:t xml:space="preserve">vai regulas, kas to aizstās</w:t>
            </w:r>
            <w:r w:rsidR="00000000" w:rsidRPr="00000000" w:rsidDel="00000000">
              <w:rPr>
                <w:rtl w:val="0"/>
              </w:rPr>
              <w:t xml:space="preserve">". Atbilstoši lūdzam precizēt arī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Projekta iesniegums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34.punktā ir paredzēts, ka gadījumā, ja projektā tiek iekļautas darbības, kas ir saistītas ar sabiedriskā ūdenssaimniecības pakalpojuma sniegšanu, projekta iesniedzējam ir jāiesniedz Vides investīciju fondam vispārējas tautsaimnieciskas nozīmes pakalpojuma pilnvarojuma uzlicēja apliecinājumu par šo noteikumu 18.6. apakšpunktā minētās atlīdzības (kompensācijas) maksājumu kontroli un pārskatīšanu, kā arī minēto atlīdzības (kompensācijas) maksājumu pārmaksas novēršanu un atgūšanu, lūdzam papildināt noteikumu projekta 41.punktā norādīto iesnieguma saturu ar 34.punktā ietverto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Ja ir konstatēts, ka ar saimniecisko darbību nesaistīts projekts tā ieviešanas gaitā vai projekta dzīves cikla laikā kļūst par projektu, kas saistīts ar saimniecisko darbību, vai ja tiek pārkāptas šajos noteikumos noteiktās komercdarbības atbalsta piešķiršanas prasības vispārējas tautsaimnieciskas nozīmes pakalpojuma sniegšanai, finansējuma saņēmējam ir pienākums atmaksāt ministrijai uz Vides investīciju fonda vēstulē norādīto kontu saņemto nelikumīgo komercdarbības atbalstu kopā ar procentiem no līdzekļiem, kas ir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87.punktā ietvertais nelikumīga komercdarbības atbalsta atgūšanas nosacījums dublē noteikumu projekta 30. un 32.punktā ietverto, līdz ar to aicinām dzēst noteikumu projekta 87.punktu, novēršot normu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Pašvaldība un finansējuma saņēmējs dokumentāciju par saņemto komercdarbības atbalstu glabā 10 gadus no līguma par sabiedrisko pakalpojumu sniegšanu darbības termiņa beigām, savukārt Vides investīciju fonds dokumentāciju, kas saistīta ar komercdarbības atbalsta piešķiršanu, glabā 10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31.punkts paredz, ka komercdarbības atbalsta saņēmējs un vispārējas tautsaimnieciskas nozīmes pakalpojuma pilnvarojuma uzlicējs nodrošina, ka pilnvarojuma periodā un </w:t>
            </w:r>
            <w:r w:rsidR="00000000" w:rsidRPr="00000000" w:rsidDel="00000000">
              <w:rPr>
                <w:u w:val="single"/>
                <w:rtl w:val="0"/>
              </w:rPr>
              <w:t xml:space="preserve">vismaz 10 gadus pēc pilnvarojuma perioda beigām, uz kura pamata tika piešķirts komercdarbības atbalsts</w:t>
            </w:r>
            <w:r w:rsidR="00000000" w:rsidRPr="00000000" w:rsidDel="00000000">
              <w:rPr>
                <w:rtl w:val="0"/>
              </w:rPr>
              <w:t xml:space="preserve">, tiek saglabāta un nodrošināta pieejamība visai nepieciešamajai informācijai, savukārt noteikumu projekta 89.punktā ir noteikts, ka pašvaldība un finansējuma saņēmējs dokumentāciju par saņemto komercdarbības atbalstu </w:t>
            </w:r>
            <w:r w:rsidR="00000000" w:rsidRPr="00000000" w:rsidDel="00000000">
              <w:rPr>
                <w:u w:val="single"/>
                <w:rtl w:val="0"/>
              </w:rPr>
              <w:t xml:space="preserve">glabā 10 gadus no līguma par sabiedrisko pakalpojumu sniegšanu darbības termiņa beigām</w:t>
            </w:r>
            <w:r w:rsidR="00000000" w:rsidRPr="00000000" w:rsidDel="00000000">
              <w:rPr>
                <w:rtl w:val="0"/>
              </w:rPr>
              <w:t xml:space="preserve">, un Vides investīciju fonds dokumentāciju, kas saistīta ar komercdarbības atbalsta piešķiršanu, glabā 10 gadus no atbalsta piešķiršanas dienas. Aicinām pārskatīt abos punktos ietvertos nosacījumus, lai novērstu iespējamās pretrunas, turklāt aicinām papildināt noteikumu projekta 89.punktu arī ar nosacījumu par dokumentācijas glabāšanas pienākumu attiecībā uz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pārskatīt 2.pielikuma 1.15.apakšpunktā ietverto nosacījumu, jo šobrīd nav saprotams, kādu nosacījumu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un sadarbības partnerim ir jānodrošina.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kurā aprakstīta demarkācija, ar Ministru kabineta 2024. gada 30. aprīļa noteikumiem Nr. 274 "Eiropas Savienības kohēzijas politikas programmas 2021. – 2027. gadam 2.1.3. specifiskā atbalsta mērķa "Veicināt pielāgošanos klimata pārmaiņām, risku novēršanu un noturību pret katastrofām" 2.1.3.2. pasākuma "Nacionālas nozīmes plūdu un krasta erozijas pasākumi" projektu iesniegumu otrās atlases kārtas īstenošanas noteikumi” un Ministru kabineta 2023. gada 27. jūnija noteikumiem Nr. 353 "Eiropas Savienības kohēzijas politikas programmas 2021. – 2027. gadam 2.1.3. specifiskā atbalsta mērķa "Veicināt pielāgošanos klimata pārmaiņām, risku novēršanu un noturību pret katastrofām" 2.1.3.2. pasākuma "Nacionālas nozīmes plūdu un krasta erozijas pasākumi" pirmās projektu iesniegumu atlases kārtas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ka informācija vai pašvaldībā ir uzsākts finanšu stabilizācijas process ir iegūstama Finanšu ministrijas tīmekļvietnē.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ir MK noteikumu projekta 19.3. un 19.5.apakšpunktos minētais atbalsta saņēmējs (atšķirībā no projekta iesniedzēja un sadarbības partnera).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vai plānotais atbalsts pašvaldībām ar mērķi atbalstīt pielāgošanās klimata pārmaiņām pasākumu īstenošanu pašvaldībās plūdu risku mazināšanai, plūdu izraisīto seku novēršanai un noturības pret plūdiem paaugstināšanai ir saistīts vienīgi ar publiskās infrastruktūras nodrošināšanu un tādējādi netiek radīta ekonomiskā priekšrocība kādiem konkrētiem uzņēmumiem (mērķorientēta infrastruktūra), uz ko būtu attiecināmas komercdarbības atbalsta regulējuma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nav nepieciešams papildināt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11.06.2026.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11.06.2026.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