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jūnija līdz 2025. gada 30. novembrim.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ziņojuma 3.punkta pirmo sadaļu “Investīcijas 2.1.2.1.i. Valsts kases projekta ieviešanas progress” ar informāciju par Zemkopības ministrijas  nekustamo īpašumu moduli (NĪP).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Zemkopības ministrija saskārusies ar dažādām problēmām (datu salāgošana, jauna integrācijas risinājuma ieviešana u.c.), kas ietekmē inventarizācijas veikšanas procesu un kvalitatīvu datu apstrādi. Darbi pie Zemkopības ministrijas NĪP datu sakārtošanas, kas nepieciešams, lai nodrošinātu nekustamo īpašumu pārvaldību, turpinās.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Klētniece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05.02.2026. 22.38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05.02.2026. 22.38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Atzinumi_25-TA-2689.docx</dc:title>
</cp:coreProperties>
</file>

<file path=docProps/custom.xml><?xml version="1.0" encoding="utf-8"?>
<Properties xmlns="http://schemas.openxmlformats.org/officeDocument/2006/custom-properties" xmlns:vt="http://schemas.openxmlformats.org/officeDocument/2006/docPropsVTypes"/>
</file>