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janvāra noteikumos Nr. 4 "Norvēģijas finanšu instrumenta 2014.–2021. gada perioda programmas "Uzņēmējdarbības attīstība, inovācijas un mazie un vidējie uzņēmumi"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72.3. </w:t>
            </w:r>
            <w:r w:rsidR="00000000" w:rsidRPr="00000000" w:rsidDel="00000000">
              <w:rPr>
                <w:rtl w:val="0"/>
              </w:rPr>
              <w:t xml:space="preserve">apakšpunktā</w:t>
            </w:r>
            <w:r w:rsidR="00000000" w:rsidRPr="00000000" w:rsidDel="00000000">
              <w:rPr>
                <w:rtl w:val="0"/>
              </w:rPr>
              <w:t xml:space="preserve"> norādīto apmācību atbalstāmo darbību attiecināmo izmaksu aprēķināšanai tiek piemērotas vienas vienības izmaksu standarta likmes atbilstoši programmas apsaimniekotāja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2.punktā izteikto 75.</w:t>
            </w:r>
            <w:r w:rsidR="00000000" w:rsidRPr="00000000" w:rsidDel="00000000">
              <w:rPr>
                <w:vertAlign w:val="superscript"/>
                <w:rtl w:val="0"/>
              </w:rPr>
              <w:t xml:space="preserve">1</w:t>
            </w:r>
            <w:r w:rsidR="00000000" w:rsidRPr="00000000" w:rsidDel="00000000">
              <w:rPr>
                <w:rtl w:val="0"/>
              </w:rPr>
              <w:t xml:space="preserve"> punktu, ņemot vērā, ka privātpersonai saistošus ārējus normatīvos aktus ir tiesības izdot tikai likumdevējam vai Ministru kabinetam un atvasinātām publiskajām personām likumdevēja skaidri noteiktos gadījumos. Tāpat vēršam uzmanību, ka normatīvā akta tekstā neietver atsauces uz zemāka juridiskā spēka vai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75.</w:t>
            </w:r>
            <w:r w:rsidR="00000000" w:rsidRPr="00000000" w:rsidDel="00000000">
              <w:rPr>
                <w:vertAlign w:val="superscript"/>
                <w:rtl w:val="0"/>
              </w:rPr>
              <w:t xml:space="preserve">1</w:t>
            </w:r>
            <w:r w:rsidR="00000000" w:rsidRPr="00000000" w:rsidDel="00000000">
              <w:rPr>
                <w:rtl w:val="0"/>
              </w:rPr>
              <w:t xml:space="preserve"> punktā noteikt, piemēram, ka: 1) programmas apsaimniekotājs izstrādā un apstiprina vienkāršoto izmaksu metodiku par vienas vienības izmaksu standarta likmes piemērošanu šo noteikumu 72.3. apakšpunktā norādīto izmaksu aprēķināšanai;  2) šo metodiku (vai nosacījumu par metodikas piemērošanu) iekļauj iepriekš noteiktā projekta partnera un programmas apsaimniekotāja līgumā par iepriekš noteiktā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23-TA-1305</w:t>
    </w:r>
    <w:r>
      <w:br/>
    </w:r>
    <w:r w:rsidR="00000000" w:rsidRPr="00000000" w:rsidDel="00000000">
      <w:rPr>
        <w:rtl w:val="0"/>
      </w:rPr>
      <w:t xml:space="preserve">Izdrukāts 15.06.2023.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23-TA-1305</w:t>
    </w:r>
    <w:r>
      <w:br/>
    </w:r>
    <w:r w:rsidR="00000000" w:rsidRPr="00000000" w:rsidDel="00000000">
      <w:rPr>
        <w:rtl w:val="0"/>
      </w:rPr>
      <w:t xml:space="preserve">Izdrukāts 15.06.2023.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Atzinumi_23-TA-1305.docx</dc:title>
</cp:coreProperties>
</file>

<file path=docProps/custom.xml><?xml version="1.0" encoding="utf-8"?>
<Properties xmlns="http://schemas.openxmlformats.org/officeDocument/2006/custom-properties" xmlns:vt="http://schemas.openxmlformats.org/officeDocument/2006/docPropsVTypes"/>
</file>