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siltumnīcefekta gāzu emisiju intensitātes samazināšanas un modernizēšanas noteikumi un vispārīgās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(C&amp;D)</w:t>
            </w:r>
            <w:r w:rsidR="00000000" w:rsidRPr="00000000" w:rsidDel="00000000">
              <w:rPr>
                <w:rtl w:val="0"/>
              </w:rPr>
              <w:t xml:space="preserve">) un biodegvielas, kas ražotas no Transporta enerģijas pielikuma B daļā minētajām izejvielām, gan atjaunīgās enerģijas apjomā gan kopējā degvielas piegādātāja patēriņam transportā realizētajā apjomā ieskaita divas reizes lielākā apjomā par to enerģijas saturu;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ceļa un dzelzceļa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(C&amp;D)</w:t>
            </w:r>
            <w:r w:rsidR="00000000" w:rsidRPr="00000000" w:rsidDel="00000000">
              <w:rPr>
                <w:rtl w:val="0"/>
              </w:rPr>
              <w:t xml:space="preserve">), kas ražotas no Transporta enerģijas pielikuma B daļā minētajām izejvielām, kas tiek ieskaitīts kopējā degvielas piegādātāja patēriņam transportā realizētajā apjomā, gan atjaunīgās enerģijas apjomā gan kopējā degvielas piegādātāja patēriņam transportā realizētajā apjomā ieskaita divas reizes lielākā apjomā par to enerģijas saturu;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aviācijas un kuģniecības transporta transportlīdzekļiem realizētās modernās biodegvielas un modernās biomasas degvielas (EP</w:t>
            </w:r>
            <w:r w:rsidR="00000000" w:rsidRPr="00000000" w:rsidDel="00000000">
              <w:rPr>
                <w:vertAlign w:val="subscript"/>
                <w:rtl w:val="0"/>
              </w:rPr>
              <w:t xml:space="preserve">MB</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2,4 reizes lielākā apjomā par to enerģijas saturu;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aviācijas un kuģniecības transporta transportlīdzekļiem realizētās nebioloģiskas izcelsmes atjaunīgās degvielas (EP</w:t>
            </w:r>
            <w:r w:rsidR="00000000" w:rsidRPr="00000000" w:rsidDel="00000000">
              <w:rPr>
                <w:vertAlign w:val="subscript"/>
                <w:rtl w:val="0"/>
              </w:rPr>
              <w:t xml:space="preserve">RFNBO</w:t>
            </w:r>
            <w:r w:rsidR="00000000" w:rsidRPr="00000000" w:rsidDel="00000000">
              <w:rPr>
                <w:vertAlign w:val="subscript"/>
                <w:rtl w:val="0"/>
              </w:rPr>
              <w:t xml:space="preserve">(A&amp;K)</w:t>
            </w:r>
            <w:r w:rsidR="00000000" w:rsidRPr="00000000" w:rsidDel="00000000">
              <w:rPr>
                <w:rtl w:val="0"/>
              </w:rPr>
              <w:t xml:space="preserve">) gan atjaunīgās enerģijas apjomā gan kopējā degvielas piegādātāja patēriņam transportā realizētajā apjomā ieskaita trīs reizes lielākā apjomā par to enerģijas saturu.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iebilst pret šo punktu un nesaskaņo.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dubultais ieskaits mākslīgi palielina izpildi pēc enerģijas un nerisina emisiju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ir iekļauts, lai veicinātu divreiz dārgākas degvielas HVO noietu. HVO ražo ārpus Latvijas un tai skaitā no izejvielām, kas neaug Latvijā – piem., palmu eļļas atlikumiem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biodegvielu vai biomasas degvielu, kas nav ražota no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minētajām izejvielām un ir ražota no pārtikas un dzīvnieku barības kultūraugiem emisiju intensitātes samazināšanas pienākuma aprēķinā ņem vērā ne vairāk kā 4,2 procentu apjomā no kopējā konkrētā degvielas piegādātāja transporta sektorā realizētā transporta enerģijas apjoma;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ierosina noteikt, ka punkts 22.1. nestājas spēkā līdz 2029.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attīstīta biodegvielas ražošana no vietējām izejvielām – pārtikas un dzīvnieku barības kultūraugiem. Ar esošajām jaudām Latvija var nodrošināt pat 13% no visas nepieciešamā degvielas (biodegviela + fosilā). Un atšķirībā no degvielām, kas ražotas no  šo noteikumu 1. pielikumā minētajām izejvielām, šīs degvielas ir pieejamas jau šodien un var dot būtisku lomu saistību izpildē par emisijām izmantojot vietējos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procentu ierobežojums ir saistīts ar to, ka valsts nebija izpildījusi uzņemtās saistības pret ES un uzņēmējiem par patēriņa nodrošināšanu un attiecīgi biodegvielu īpatsvars transportā uz 2020. gadu bija nevis 10%, bet gan 3.2%. Saskaņā ar RED II direktīvu ir ierobežojums 2030. gada mērķu izpildei no biodegvielas, kas ražota no pārtikas un dzīvnieku barības kultūraugiem ir  izpilde 2020. gadu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iepriekšējā perioda mērķa neizpildi tiek sodīti vietējie biodegvielas un izejvielu ražotāji un viecināta tiek importa produkcijas ieplūšana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nosakot to, ka punkts nestājas spēkā aicinām uzdot attiecīgajai ministrijai veikt pārrunas ar Eiropas Komisiju, lai šo ierobežojumu paceļ līdz EK noteiktā maksimālā līmeņa Eiropas savienībā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Aprēķinot kopējo realizēto transporta enerģijas apjomu, jūras kuģiem piegādātās transporta enerģijas daudzumu aprēķinā ņem vērā ne vairāk kā 13 procentu apmērā no kopējā realizētā transporta enerģijas apjoma.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25.2. ir svītrots no pēdējās noteikumu versijas. LBBA aicina šo punktu atstāt noteikumos. Palmu eļļas izmantošana ir saistīta ar augstu risku, ka tā iegūta uz tādu platību rēķina, kas samazina mežus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biodegvielu vai biomasas degvielu, kas saražota tieši no palmu eļļas.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13.04.2026.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13.04.2026.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