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25-TA-2914: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iesaisti Čerņihivas apgabala, Ukraina, rekonstrukcijā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iesaisti Čerņihivas apgabala, Ukraina, rekonstrukcijā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sadaļu "</w:t>
            </w:r>
            <w:r w:rsidR="00000000" w:rsidRPr="00000000" w:rsidDel="00000000">
              <w:rPr>
                <w:i w:val="1"/>
                <w:rtl w:val="0"/>
              </w:rPr>
              <w:t xml:space="preserve">Priekšlikumi turpmākai rīcībai</w:t>
            </w:r>
            <w:r w:rsidR="00000000" w:rsidRPr="00000000" w:rsidDel="00000000">
              <w:rPr>
                <w:rtl w:val="0"/>
              </w:rPr>
              <w:t xml:space="preserve">" ar informāciju, ka, lai nodrošinātu finansējuma pieejamību Ekonomikas ministrijas piedāvātajiem virzieniem, atbildīgās ministrijas, savstarpēji vienojoties, normatīvajos aktos noteiktajā kārtībā iesniegs rīkojuma projektu par apropriācijas pārdali 2026. gadā no budžeta resora “74. Gadskārtējā valsts budžeta izpildes procesā pārdalāmais finansējums” programmas 18.00.00 “Finansējums valsts drošības stiprināšanas pasākumiem”, vienlaicīgi nodrošinot, ka no programmas 01.00.00 “Apropriācijas rezerve” pārdalītais un neizlietotais finansējums tiek pakļauts asignējuma slēgšanai.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Salatkova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iesaisti Čerņihivas apgabala, Ukraina, rekonstrukcijā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sadaļu “</w:t>
            </w:r>
            <w:r w:rsidR="00000000" w:rsidRPr="00000000" w:rsidDel="00000000">
              <w:rPr>
                <w:i w:val="1"/>
                <w:rtl w:val="0"/>
              </w:rPr>
              <w:t xml:space="preserve">Situācijas apraksts</w:t>
            </w:r>
            <w:r w:rsidR="00000000" w:rsidRPr="00000000" w:rsidDel="00000000">
              <w:rPr>
                <w:rtl w:val="0"/>
              </w:rPr>
              <w:t xml:space="preserve">” ar informāciju, ka no budžeta resora “74. Gadskārtējā valsts budžeta izpildes procesā pārdalāmais finansējums” programmas 18.00.00 “Finansējums valsts drošības stiprināšanas pasākumiem” 2024. gadā pārdalītais, bet neizlietotais finansējums tika pārdalīts Ekonomikas ministrijai 2025. gadā no programmas 01.00.00 “Apropriācijas rezerve”, norādot pārdales summu un slēgtā asignējuma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Salatkova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iesaisti Čerņihivas apgabala, Ukraina, rekonstrukcijā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informatīvajā ziņojumā norādīto, ka: “</w:t>
            </w:r>
            <w:r w:rsidR="00000000" w:rsidRPr="00000000" w:rsidDel="00000000">
              <w:rPr>
                <w:i w:val="1"/>
                <w:rtl w:val="0"/>
              </w:rPr>
              <w:t xml:space="preserve">bezpilota sistēmu iegādei Ukrainas bruņoto spēku spēju stiprināšanai, vienlaikus veicinot Latvijas industrijas divejāda lietojuma tehnoloģiju attīstību, finansējumu novirzot Aizsardzības ministrijai budžeta apakšprogrammai 22.12.00 "Nacionālo bruņoto spēku uzturēšana</w:t>
            </w:r>
            <w:r w:rsidR="00000000" w:rsidRPr="00000000" w:rsidDel="00000000">
              <w:rPr>
                <w:rtl w:val="0"/>
              </w:rPr>
              <w:t xml:space="preserve">””, vēršam uzmanību uz turpmāk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lūdzam informatīvajā ziņojumā skaidri atspoguļot, ko šī informatīvā ziņojuma kontekstā saprot ar “veicināt Latvijas industrijas divejāda lietojuma tehnoloģiju attīstību”, proti, vai ir plānots ar publiskajiem līdzekļiem atbalstīt/veicināt kāda konkrēta saimnieciskās darbības veicēja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vēršam uzmanību, ka atbilstoši Eiropas Komisijas sniegtajiem skaidrojumiem, ja publisko finansējumu paredzēts piešķirt divējāda lietojuma preču un tehnoloģiju jomā, tas būtu vērtējams kā saimniecisks projekts, kuram, piešķirot publisko finansējumu, būtu jāpiemēro komercdarbības atbalsta regulējumu (skat. arī Finanšu ministrijas izstrādāto skaidrojošo materiālu: https://www.fm.gov.lv/lv/media/21699/download?attachment, kā arī Komisijas paziņojumu Eiropas Parlamentam un Padomei "Omnibus pakete aizsardzības gatavības jomā": https://eur-lex.europa.eu/legal-content/LV/TXT/HTML/?uri=CELEX:52025DC0820). Ņemot vērā, ka informatīvajā ziņojumā nav norādīts, kādā procedūrā tiks veikta bezpilota sistēmu iegāde un vai tās ietvaros tiks nodrošināta tirgus cenas piemērošana, kas tādējādi izslēgtu ekonomiskās priekšrocības piešķiršanu preču piegādātājam(-iem), lūdzam ar attiecīgu informāciju papildināt informatīvo ziņojumu. Gadījumā, ja attiecīgo preču piegādātāju nav plānots izvēlēties atklātā, pārredzamā, nediskriminējošā un konkurenci nodrošinoša procedūrā, lūdzam informatīvo ziņojumu papildināt, norādot kāds komercdarbības atbalsta regulējums tiks piemērots attiecīgo preču iegādes darījumam.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iesaisti Čerņihivas apgabala, Ukraina, rekonstrukcijā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informatīvajā ziņojumā minēto par plānoto ģeneratoru un citu elektroapgādes nodrošināšanai nepieciešamo preču iegādi Čerņihivas apgabalam un norādīto, ka iepirkumu organizēšanai Ekonomikas ministrija plāno piemērot sarunu procedūru atbilstoši Publisko iepirkumu likuma 8.panta septītās daļas 3.punktam, skaidrojam turpmāk minēto. Skaidrojam, ka no komercdarbības atbalsta kontroles viedokļa var uzskatīt, ka darījums atbilst tirgus nosacījumiem, ja preču vai pakalpojumu pirkšana notiek konkurenci nodrošinošā, pārredzamā, nediskriminējošā un beznosacījumu konkursa procedūrā (skat. </w:t>
            </w:r>
            <w:r w:rsidR="00000000" w:rsidRPr="00000000" w:rsidDel="00000000">
              <w:rPr>
                <w:i w:val="1"/>
                <w:rtl w:val="0"/>
              </w:rPr>
              <w:t xml:space="preserve">Komisijas paziņojums par Līguma par Eiropas Savienības darbību 107. panta 1. punktā minēto valsts atbalsta jēdzienu</w:t>
            </w:r>
            <w:r w:rsidR="00000000" w:rsidRPr="00000000" w:rsidDel="00000000">
              <w:rPr>
                <w:rtl w:val="0"/>
              </w:rPr>
              <w:t xml:space="preserve"> </w:t>
            </w:r>
            <w:r w:rsidR="00000000" w:rsidRPr="00000000" w:rsidDel="00000000">
              <w:rPr>
                <w:i w:val="1"/>
                <w:rtl w:val="0"/>
              </w:rPr>
              <w:t xml:space="preserve">(2016/C 262/01) </w:t>
            </w:r>
            <w:r w:rsidR="00000000" w:rsidRPr="00000000" w:rsidDel="00000000">
              <w:rPr>
                <w:rtl w:val="0"/>
              </w:rPr>
              <w:t xml:space="preserve">(turpmāk – Komisijas paziņojuma 89.punktu), un tādējādi darījuma ietvaros tiek izslēgta komercdarbības atbalstu raksturojošā pazīme – ekonomiskā priekšrocība – un nav konstatējama komercdarbības atbalsta piešķiršana darījuma ietvaros. Tomēr vēršam uzmanību, ka atsevišķu publiskā iepirkuma procedūru piemērošana rada komercdarbības atbalsta piešķiršanas riskus, un viena no šādām procedūrām ir sarunu procedūra, kas ir </w:t>
            </w:r>
            <w:r w:rsidR="00000000" w:rsidRPr="00000000" w:rsidDel="00000000">
              <w:rPr>
                <w:i w:val="1"/>
                <w:rtl w:val="0"/>
              </w:rPr>
              <w:t xml:space="preserve">iepirkuma procedūra, kurā pasūtītājs, </w:t>
            </w:r>
            <w:r w:rsidR="00000000" w:rsidRPr="00000000" w:rsidDel="00000000">
              <w:rPr>
                <w:i w:val="1"/>
                <w:u w:val="single"/>
                <w:rtl w:val="0"/>
              </w:rPr>
              <w:t xml:space="preserve">iepriekš nepublicējot paziņojumu par līgumu, apspriežas ar paša izraudzītiem piegādātājiem un ar vienu vai vairākiem no viņiem rīko sarunas par iepirkuma līguma noteikumiem</w:t>
            </w:r>
            <w:r w:rsidR="00000000" w:rsidRPr="00000000" w:rsidDel="00000000">
              <w:rPr>
                <w:i w:val="1"/>
                <w:rtl w:val="0"/>
              </w:rPr>
              <w:t xml:space="preserve">, </w:t>
            </w:r>
            <w:r w:rsidR="00000000" w:rsidRPr="00000000" w:rsidDel="00000000">
              <w:rPr>
                <w:rtl w:val="0"/>
              </w:rPr>
              <w:t xml:space="preserve">un kuras ietvaros atbilstoši Eiropas Komisijas skaidrojumiem pastāv īpaši apstākļi, kas liedz noteikt tirgus cenu. Vienlaikus, ja tomēr joprojām ir iespējams pamatot, ka iepirkuma veicējs ar papildu metodēm var pārbaudīt iepirkuma atbilstību tirgus cenai, joprojām varētu tikt pamatota ekonomiskās priekšrocības neesamība darījumā (skat. Komisijas paziņojums 93.punktu).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sniegto skaidrojumu, lūdzam precizēt informatīvajā ziņojumā iekļauto informāciju par plānoto ģeneratoru un citu elektroapgādes nodrošināšanai nepieciešamo preču iegādes procedūru, lai nodrošinātu tirgus cenu plānotajā pirkuma darījumā un tādējādi izslēgtu ekonomiskās priekšrocības piešķiršanu preču piegātāju līmenī, vai arī papildināt informatīvo ziņojumu ar informāciju, ka (un kāds) komercdarbības atbalsta regulējums tiks piemērots, lai nodrošinātu likumīga un ar ES iekšējo tirgu saderīga komercdarbības atbalsta piešķiršanu.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Latvijas iesaisti Čerņihivas apgabala, Ukraina, rekonstrukcijā"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sēdes protokollēmuma projektu ar 3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2.1. un 2.2. punktos minētie izdevumi pasākumiem Ukrainas atbalstam 2026. gadā 1 880 000 </w:t>
            </w:r>
            <w:r w:rsidR="00000000" w:rsidRPr="00000000" w:rsidDel="00000000">
              <w:rPr>
                <w:i w:val="1"/>
                <w:rtl w:val="0"/>
              </w:rPr>
              <w:t xml:space="preserve">euro </w:t>
            </w:r>
            <w:r w:rsidR="00000000" w:rsidRPr="00000000" w:rsidDel="00000000">
              <w:rPr>
                <w:rtl w:val="0"/>
              </w:rPr>
              <w:t xml:space="preserve">apmērā ir uzskatāmi par vienreizējo pasākumu likuma “Par valsts budžetu 2026. gadam un budžeta ietvaru 2026., 2027. un 2028. gadam” 6. panta 1. punkta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Atbildīgajām ministrijām,  savstarpēji vienojoties, normatīvajos aktos noteiktajā kārtībā iesniegt rīkojuma projektu par apropriācijas pārdali no budžeta resora “74. Gadskārtējā valsts budžeta izpildes procesā pārdalāmais finansējums” programmas 18.00.00 “Finansējums valsts drošības stiprināšanas pasākumiem” 2.1. un 2.2. punktos noteiktam mērķim un noteiktajā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Pieņemt zināšanai, ka ņemot vērā, ka finansējums valsts nozīmes prioritārajam pasākumam – Pasākumi Ukrainas atbalstam un globālās drošības veicināšanai (atbalsts Ukrainas rekonstrukcijai un iemaksas Ukrainas atbalstam) – ir plānots 2023.-2025. gadā, 2.1. un 2.2. punktos minētie izdevumi 2026. gadā veidos papildus negatīvu ietekmi uz vispārējās valdības budžeta bilanci.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Salatkova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Pieņemt zināšanai, ka Ekonomikas ministrijas neizlietoto finansējumu Ukrainas atbalstam 2026. gadā izlietos šādiem atbalsta virzieniem: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sēdes protokollēmuma projekta 2. punktu izteikt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Pieņemt zināšanai, ka Ekonomikas ministrijas no 74. resora “Gadskārtējā valsts budžeta izpildes procesā pārdalāmais finansējums” programmas 18.00.00 ''Finansējums valsts drošības stiprināšanas pasākumiem'' prioritārajam pasākumam “Pasākumi Ukrainas atbalstam un globālās drošības veicināšanai (atbalsts Ukrainas rekonstrukcijai un iemaksas Ukrainas atbalstam)” rezervētā finansējuma 2024. gadā pārdalīto un neizlietoto finansējumu 1 880 000 </w:t>
            </w:r>
            <w:r w:rsidR="00000000" w:rsidRPr="00000000" w:rsidDel="00000000">
              <w:rPr>
                <w:i w:val="1"/>
                <w:rtl w:val="0"/>
              </w:rPr>
              <w:t xml:space="preserve">euro </w:t>
            </w:r>
            <w:r w:rsidR="00000000" w:rsidRPr="00000000" w:rsidDel="00000000">
              <w:rPr>
                <w:rtl w:val="0"/>
              </w:rPr>
              <w:t xml:space="preserve">apmērā 2026. gadā izlietos Ukrainas atbalstam, novirzot finansējumu šādiem atbalsta virzieniem: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Ekonomikas ministrija ģeneratoru un citu elektroapgādes nodrošināšanai nepieciešamo preču iegādei Ukrainas Čerņihivas apgabalam 1 200 000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Aizsardzības ministrija bezpilota sistēmu iegādei Ukrainas bruņoto spēku spēju stiprināšanai 680 000 </w:t>
            </w:r>
            <w:r w:rsidR="00000000" w:rsidRPr="00000000" w:rsidDel="00000000">
              <w:rPr>
                <w:i w:val="1"/>
                <w:rtl w:val="0"/>
              </w:rPr>
              <w:t xml:space="preserve">euro </w:t>
            </w:r>
            <w:r w:rsidR="00000000" w:rsidRPr="00000000" w:rsidDel="00000000">
              <w:rPr>
                <w:rtl w:val="0"/>
              </w:rPr>
              <w:t xml:space="preserve">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Salatkova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25-TA-2914</w:t>
    </w:r>
    <w:r>
      <w:br/>
    </w:r>
    <w:r w:rsidR="00000000" w:rsidRPr="00000000" w:rsidDel="00000000">
      <w:rPr>
        <w:rtl w:val="0"/>
      </w:rPr>
      <w:t xml:space="preserve">Izdrukāts 19.12.2025. 17.42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25-TA-2914</w:t>
    </w:r>
    <w:r>
      <w:br/>
    </w:r>
    <w:r w:rsidR="00000000" w:rsidRPr="00000000" w:rsidDel="00000000">
      <w:rPr>
        <w:rtl w:val="0"/>
      </w:rPr>
      <w:t xml:space="preserve">Izdrukāts 19.12.2025. 17.42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Atzinumi_25-TA-2914.docx</dc:title>
</cp:coreProperties>
</file>

<file path=docProps/custom.xml><?xml version="1.0" encoding="utf-8"?>
<Properties xmlns="http://schemas.openxmlformats.org/officeDocument/2006/custom-properties" xmlns:vt="http://schemas.openxmlformats.org/officeDocument/2006/docPropsVTypes"/>
</file>