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7.0 -->
  <w:body>
    <w:p w:rsidR="00275C13" w:rsidP="00661C8F">
      <w:pPr>
        <w:spacing w:after="0" w:line="240" w:lineRule="auto"/>
        <w:jc w:val="right"/>
        <w:rPr>
          <w:b/>
          <w:noProof/>
        </w:rPr>
      </w:pPr>
    </w:p>
    <w:p w:rsidRPr="00661C8F" w:rsidR="007A2264" w:rsidP="00661C8F">
      <w:pPr>
        <w:spacing w:after="0" w:line="240" w:lineRule="auto"/>
        <w:jc w:val="right"/>
        <w:rPr>
          <w:b/>
        </w:rPr>
      </w:pPr>
      <w:r w:rsidRPr="00661C8F">
        <w:rPr>
          <w:b/>
          <w:noProof/>
        </w:rPr>
        <w:t>Satiksmes ministrija</w:t>
      </w:r>
      <w:r w:rsidR="00FA0713">
        <w:rPr>
          <w:b/>
          <w:noProof/>
        </w:rPr>
        <w:t>i</w:t>
      </w:r>
    </w:p>
    <w:p w:rsidR="00275C13" w:rsidP="00661C8F">
      <w:pPr>
        <w:spacing w:after="0" w:line="240" w:lineRule="auto"/>
        <w:jc w:val="both"/>
        <w:rPr>
          <w:i/>
          <w:noProof/>
        </w:rPr>
      </w:pPr>
    </w:p>
    <w:p w:rsidRPr="00661C8F" w:rsidR="007A2264" w:rsidP="00661C8F">
      <w:pPr>
        <w:spacing w:after="0" w:line="240" w:lineRule="auto"/>
        <w:jc w:val="both"/>
        <w:rPr>
          <w:i/>
          <w:noProof/>
        </w:rPr>
      </w:pPr>
      <w:r w:rsidRPr="00661C8F">
        <w:rPr>
          <w:i/>
          <w:noProof/>
        </w:rPr>
        <w:t>Par precizēto</w:t>
      </w:r>
      <w:r w:rsidR="00625B5E">
        <w:rPr>
          <w:i/>
          <w:noProof/>
        </w:rPr>
        <w:t xml:space="preserve"> likumprojektu “Elek</w:t>
      </w:r>
      <w:r w:rsidR="0088511B">
        <w:rPr>
          <w:i/>
          <w:noProof/>
        </w:rPr>
        <w:t>tronisko sakaru likums” (VSS-765</w:t>
      </w:r>
      <w:r w:rsidR="00625B5E">
        <w:rPr>
          <w:i/>
          <w:noProof/>
        </w:rPr>
        <w:t>)</w:t>
      </w:r>
    </w:p>
    <w:p w:rsidRPr="00661C8F" w:rsidR="00104688" w:rsidP="00661C8F">
      <w:pPr>
        <w:spacing w:after="0" w:line="240" w:lineRule="auto"/>
        <w:jc w:val="both"/>
      </w:pPr>
    </w:p>
    <w:p w:rsidR="00FA0713" w:rsidP="00FA0713">
      <w:pPr>
        <w:spacing w:after="0" w:line="240" w:lineRule="auto"/>
        <w:ind w:firstLine="567"/>
        <w:jc w:val="both"/>
      </w:pPr>
      <w:r w:rsidRPr="00FA0713">
        <w:t xml:space="preserve">Aizsardzības ministrija (turpmāk – AM) savas kompetences ietvaros ir izvērtējusi Satiksmes ministrijas </w:t>
      </w:r>
      <w:r>
        <w:t>precizēto</w:t>
      </w:r>
      <w:r w:rsidRPr="00FA0713">
        <w:t xml:space="preserve"> likumprojektu “Elektronisko sakaru likums” (VSS-765) (turpmāk – Likumprojekts) un </w:t>
      </w:r>
      <w:r w:rsidR="00011612">
        <w:t>izsaka par likumprojektu</w:t>
      </w:r>
      <w:r w:rsidRPr="00FA0713">
        <w:t xml:space="preserve"> šādus </w:t>
      </w:r>
      <w:r w:rsidRPr="00FA0713">
        <w:rPr>
          <w:b/>
        </w:rPr>
        <w:t>iebildumus</w:t>
      </w:r>
      <w:r w:rsidRPr="00FA0713">
        <w:t>:</w:t>
      </w:r>
    </w:p>
    <w:p w:rsidRPr="009B5631" w:rsidR="00FA0713" w:rsidP="00011612">
      <w:pPr>
        <w:pStyle w:val="ListParagraph"/>
        <w:widowControl/>
        <w:numPr>
          <w:ilvl w:val="0"/>
          <w:numId w:val="13"/>
        </w:numPr>
        <w:spacing w:after="0" w:line="240" w:lineRule="auto"/>
        <w:jc w:val="both"/>
      </w:pPr>
      <w:r>
        <w:t xml:space="preserve">Lai īstenotu </w:t>
      </w:r>
      <w:r w:rsidRPr="009B5631">
        <w:t>Eiropas Savienība</w:t>
      </w:r>
      <w:r>
        <w:t>s</w:t>
      </w:r>
      <w:r w:rsidR="00AE1FFA">
        <w:t xml:space="preserve"> 2020. gada</w:t>
      </w:r>
      <w:r w:rsidRPr="009B5631">
        <w:t xml:space="preserve"> 29. janvārī publicē</w:t>
      </w:r>
      <w:r>
        <w:t>to</w:t>
      </w:r>
      <w:r w:rsidRPr="009B5631">
        <w:t xml:space="preserve"> rīkkopu </w:t>
      </w:r>
      <w:r>
        <w:t>piektās paaudzes mobilo sakaru tīklu (turpmāk – 5G)</w:t>
      </w:r>
      <w:r w:rsidRPr="009B5631">
        <w:t xml:space="preserve"> drošībai</w:t>
      </w:r>
      <w:r w:rsidR="00F52771">
        <w:t xml:space="preserve">, kura atsaucas arī uz </w:t>
      </w:r>
      <w:r w:rsidRPr="009B5631">
        <w:t>Elektronisko sakaru kodeks</w:t>
      </w:r>
      <w:r w:rsidR="00F52771">
        <w:t>u</w:t>
      </w:r>
      <w:r w:rsidRPr="009B5631">
        <w:t xml:space="preserve">, Aizsardzības ministrija </w:t>
      </w:r>
      <w:r w:rsidR="00F52771">
        <w:t xml:space="preserve">atkārtoti </w:t>
      </w:r>
      <w:r w:rsidRPr="009B5631">
        <w:t xml:space="preserve">pauž viedokli, ka Likumprojekts ir papildināms ar </w:t>
      </w:r>
      <w:r w:rsidR="00F52771">
        <w:t xml:space="preserve">šādām </w:t>
      </w:r>
      <w:r w:rsidRPr="009B5631">
        <w:t>normām:</w:t>
      </w:r>
    </w:p>
    <w:p w:rsidRPr="009B5631" w:rsidR="00FA0713" w:rsidP="00C36A49">
      <w:pPr>
        <w:pStyle w:val="ListParagraph"/>
        <w:numPr>
          <w:ilvl w:val="0"/>
          <w:numId w:val="14"/>
        </w:numPr>
        <w:spacing w:after="0" w:line="240" w:lineRule="auto"/>
        <w:ind w:left="1418" w:hanging="131"/>
        <w:jc w:val="both"/>
      </w:pPr>
      <w:r w:rsidRPr="009B5631">
        <w:t>II nodaļu “Valsts pārvalde elektronisko sakaru nozarē” ar jaunu pantu šādā redakcijā:</w:t>
      </w:r>
    </w:p>
    <w:p w:rsidRPr="009B5631" w:rsidR="00FA0713" w:rsidP="00FA0713">
      <w:pPr>
        <w:pStyle w:val="ListParagraph"/>
        <w:spacing w:after="0" w:line="240" w:lineRule="auto"/>
        <w:ind w:left="1560"/>
        <w:jc w:val="both"/>
        <w:rPr>
          <w:i/>
          <w:iCs/>
        </w:rPr>
      </w:pPr>
      <w:r w:rsidRPr="009B5631">
        <w:rPr>
          <w:i/>
          <w:iCs/>
        </w:rPr>
        <w:t>“Satversmes aizsardzības biroja tiesības.</w:t>
      </w:r>
    </w:p>
    <w:p w:rsidRPr="009B5631" w:rsidR="00FA0713" w:rsidP="00FA0713">
      <w:pPr>
        <w:pStyle w:val="ListParagraph"/>
        <w:spacing w:after="0" w:line="240" w:lineRule="auto"/>
        <w:ind w:left="1560"/>
        <w:jc w:val="both"/>
        <w:rPr>
          <w:i/>
          <w:iCs/>
        </w:rPr>
      </w:pPr>
      <w:r w:rsidRPr="009B5631">
        <w:rPr>
          <w:i/>
          <w:iCs/>
        </w:rPr>
        <w:t>Satversmes aizsardzības birojam ir šādas tiesības:</w:t>
      </w:r>
    </w:p>
    <w:p w:rsidR="00767FE6" w:rsidP="00767FE6">
      <w:pPr>
        <w:pStyle w:val="ListParagraph"/>
        <w:widowControl/>
        <w:numPr>
          <w:ilvl w:val="0"/>
          <w:numId w:val="16"/>
        </w:numPr>
        <w:spacing w:after="0" w:line="240" w:lineRule="auto"/>
        <w:jc w:val="both"/>
        <w:rPr>
          <w:i/>
          <w:iCs/>
        </w:rPr>
      </w:pPr>
      <w:r w:rsidRPr="009B5631">
        <w:rPr>
          <w:i/>
          <w:iCs/>
        </w:rPr>
        <w:t>noteikt un ierobežot vai aizliegt tāda aprīkojuma, programmatūras un ārpakalpojumu izmantošanu mobilo sakaru tīklos, kas var radīt draudus nacionālajai drošībai.</w:t>
      </w:r>
    </w:p>
    <w:p w:rsidRPr="00767FE6" w:rsidR="00FA0713" w:rsidP="00767FE6">
      <w:pPr>
        <w:pStyle w:val="ListParagraph"/>
        <w:widowControl/>
        <w:numPr>
          <w:ilvl w:val="0"/>
          <w:numId w:val="16"/>
        </w:numPr>
        <w:spacing w:after="0" w:line="240" w:lineRule="auto"/>
        <w:jc w:val="both"/>
        <w:rPr>
          <w:i/>
          <w:iCs/>
        </w:rPr>
      </w:pPr>
      <w:r w:rsidRPr="00767FE6">
        <w:rPr>
          <w:i/>
          <w:iCs/>
        </w:rPr>
        <w:t>pieprasīt elektronisko sakaru komersantiem informāciju par mobilo sakaru tīklos vai atsevišķās to daļās izmantoto aprīkojumu, programmatūru un ārpakalpojumiem.</w:t>
      </w:r>
      <w:r w:rsidR="007652D2">
        <w:rPr>
          <w:i/>
          <w:iCs/>
        </w:rPr>
        <w:t>”;</w:t>
      </w:r>
    </w:p>
    <w:p w:rsidRPr="009B5631" w:rsidR="00FA0713" w:rsidP="00C36A49">
      <w:pPr>
        <w:pStyle w:val="ListParagraph"/>
        <w:numPr>
          <w:ilvl w:val="0"/>
          <w:numId w:val="14"/>
        </w:numPr>
        <w:spacing w:after="0" w:line="240" w:lineRule="auto"/>
        <w:ind w:left="1418" w:hanging="131"/>
        <w:jc w:val="both"/>
      </w:pPr>
      <w:r>
        <w:t>16</w:t>
      </w:r>
      <w:r w:rsidRPr="009B5631">
        <w:t>. panta “Elektronisko sakaru komersanta tiesības un pienākumi” 2. daļu ar jaunu punktu šādā redakcijā:</w:t>
      </w:r>
    </w:p>
    <w:p w:rsidRPr="009B5631" w:rsidR="00FA0713" w:rsidP="00767FE6">
      <w:pPr>
        <w:pStyle w:val="ListParagraph"/>
        <w:spacing w:after="0" w:line="240" w:lineRule="auto"/>
        <w:ind w:left="1418"/>
        <w:jc w:val="both"/>
      </w:pPr>
      <w:r w:rsidRPr="009B5631">
        <w:rPr>
          <w:i/>
          <w:iCs/>
        </w:rPr>
        <w:t>“pēc Satversmes aizsardzības biroja pieprasījuma, sniegt informāciju par to īpašumā vai tiesiskajā valdījumā esošā mobilo sakaru tīklā vai atsevišķās tā daļās izmantoto aprīkojumu, programmatūru un ārpakalpojumiem.”</w:t>
      </w:r>
      <w:r w:rsidR="007652D2">
        <w:t>;</w:t>
      </w:r>
    </w:p>
    <w:p w:rsidRPr="009B5631" w:rsidR="00FA0713" w:rsidP="00C36A49">
      <w:pPr>
        <w:pStyle w:val="ListParagraph"/>
        <w:numPr>
          <w:ilvl w:val="0"/>
          <w:numId w:val="14"/>
        </w:numPr>
        <w:spacing w:after="0" w:line="240" w:lineRule="auto"/>
        <w:ind w:left="1418" w:hanging="131"/>
        <w:jc w:val="both"/>
      </w:pPr>
      <w:r w:rsidRPr="009B5631">
        <w:t xml:space="preserve">IV nodaļu “Elektronisko sakaru tīkli” </w:t>
      </w:r>
      <w:r w:rsidR="00F52771">
        <w:t xml:space="preserve">papildināt </w:t>
      </w:r>
      <w:r w:rsidRPr="009B5631">
        <w:t>ar jaunu pantu šādā redakcijā:</w:t>
      </w:r>
    </w:p>
    <w:p w:rsidRPr="00767FE6" w:rsidR="00FA0713" w:rsidP="00767FE6">
      <w:pPr>
        <w:spacing w:after="0" w:line="240" w:lineRule="auto"/>
        <w:ind w:firstLine="1418"/>
        <w:jc w:val="both"/>
        <w:rPr>
          <w:i/>
          <w:iCs/>
        </w:rPr>
      </w:pPr>
      <w:r w:rsidRPr="009B5631">
        <w:t>“</w:t>
      </w:r>
      <w:r w:rsidRPr="00767FE6">
        <w:rPr>
          <w:i/>
          <w:iCs/>
        </w:rPr>
        <w:t xml:space="preserve">Mobilo </w:t>
      </w:r>
      <w:r w:rsidRPr="00767FE6" w:rsidR="00AA44FD">
        <w:rPr>
          <w:i/>
          <w:iCs/>
        </w:rPr>
        <w:t xml:space="preserve">elektronisko </w:t>
      </w:r>
      <w:r w:rsidRPr="00767FE6">
        <w:rPr>
          <w:i/>
          <w:iCs/>
        </w:rPr>
        <w:t>sakaru tīklu drošības prasības.</w:t>
      </w:r>
    </w:p>
    <w:p w:rsidR="00BB6AB6" w:rsidP="00F52771">
      <w:pPr>
        <w:pStyle w:val="ListParagraph"/>
        <w:spacing w:after="0" w:line="240" w:lineRule="auto"/>
        <w:ind w:left="1418"/>
        <w:jc w:val="both"/>
      </w:pPr>
      <w:r w:rsidRPr="009B5631">
        <w:rPr>
          <w:i/>
          <w:iCs/>
        </w:rPr>
        <w:t xml:space="preserve">Ministru kabinets nosaka drošības prasības un to uzraudzības kārtību mobilo </w:t>
      </w:r>
      <w:r w:rsidR="00AA44FD">
        <w:rPr>
          <w:i/>
          <w:iCs/>
        </w:rPr>
        <w:t xml:space="preserve">elektronisko </w:t>
      </w:r>
      <w:r w:rsidRPr="009B5631">
        <w:rPr>
          <w:i/>
          <w:iCs/>
        </w:rPr>
        <w:t>sakaru tīklu izveidei, attīstīšanai, tostarp pārbūvei, ekspluatācijai un vadībai.</w:t>
      </w:r>
      <w:r w:rsidRPr="009B5631">
        <w:t xml:space="preserve">”. </w:t>
      </w:r>
    </w:p>
    <w:p w:rsidRPr="00BB6AB6" w:rsidR="00F52771" w:rsidP="00F52771">
      <w:pPr>
        <w:pStyle w:val="ListParagraph"/>
        <w:spacing w:after="0" w:line="240" w:lineRule="auto"/>
        <w:ind w:left="1418"/>
        <w:jc w:val="both"/>
        <w:rPr>
          <w:iCs/>
        </w:rPr>
      </w:pPr>
      <w:r>
        <w:rPr>
          <w:iCs/>
        </w:rPr>
        <w:t xml:space="preserve">Vienlaikus, nepieciešams papildināt </w:t>
      </w:r>
      <w:r w:rsidR="00D96168">
        <w:rPr>
          <w:iCs/>
        </w:rPr>
        <w:t xml:space="preserve">Likumprojekta </w:t>
      </w:r>
      <w:r>
        <w:rPr>
          <w:iCs/>
        </w:rPr>
        <w:t>18</w:t>
      </w:r>
      <w:r w:rsidRPr="00BB6AB6" w:rsidR="00FA0713">
        <w:rPr>
          <w:iCs/>
        </w:rPr>
        <w:t>. pantu</w:t>
      </w:r>
      <w:r>
        <w:rPr>
          <w:iCs/>
        </w:rPr>
        <w:t xml:space="preserve"> “Pārkāpums” ar norādi, ka</w:t>
      </w:r>
      <w:r w:rsidRPr="00BB6AB6" w:rsidR="00FA0713">
        <w:rPr>
          <w:iCs/>
        </w:rPr>
        <w:t xml:space="preserve"> tas attiecināms arī uz augstāk minētajiem gadījumiem.</w:t>
      </w:r>
    </w:p>
    <w:p w:rsidRPr="0004700F" w:rsidR="0004700F" w:rsidP="00151897">
      <w:pPr>
        <w:pStyle w:val="ListParagraph"/>
        <w:numPr>
          <w:ilvl w:val="0"/>
          <w:numId w:val="13"/>
        </w:numPr>
        <w:spacing w:after="0" w:line="240" w:lineRule="auto"/>
        <w:jc w:val="both"/>
        <w:rPr>
          <w:bCs/>
        </w:rPr>
      </w:pPr>
      <w:r>
        <w:t>AM, v</w:t>
      </w:r>
      <w:r w:rsidR="003949CB">
        <w:t>eicot analīzi par institūciju darbību izņēmuma stāvokļa laikā un balstoties uz valsts apdraudējuma pārvarēšanas mācību secinājumiem, ir secinājusi, ka valsts apdraudējuma gadījumā valsts akciju sabiedrību</w:t>
      </w:r>
      <w:r w:rsidRPr="008D0A8F" w:rsidR="003949CB">
        <w:t xml:space="preserve">  “Latvijas Valsts radio un televīzijas centrs” un</w:t>
      </w:r>
      <w:r w:rsidR="003949CB">
        <w:t xml:space="preserve"> “Elektroniskie sakari” funkcijas un resursi</w:t>
      </w:r>
      <w:r w:rsidRPr="008D0A8F" w:rsidR="003949CB">
        <w:t xml:space="preserve"> </w:t>
      </w:r>
      <w:r w:rsidR="003949CB">
        <w:t xml:space="preserve">ar atsevišķu Ministru kabineta lēmumu būtu nododami </w:t>
      </w:r>
      <w:r w:rsidRPr="008D0A8F" w:rsidR="003949CB">
        <w:t>Latvijas Nacionālajiem bruņotajiem spēkiem.</w:t>
      </w:r>
      <w:r w:rsidR="003949CB">
        <w:t xml:space="preserve"> Attiecīgs lēmums būtu </w:t>
      </w:r>
      <w:r w:rsidR="003949CB">
        <w:t xml:space="preserve">pieņemams tikai tādā gadījumā, lai novērstu vai pārvarētu valsts apdraudējumu. </w:t>
      </w:r>
    </w:p>
    <w:p w:rsidRPr="00151897" w:rsidR="003949CB" w:rsidP="0004700F">
      <w:pPr>
        <w:pStyle w:val="ListParagraph"/>
        <w:spacing w:after="0" w:line="240" w:lineRule="auto"/>
        <w:ind w:left="927"/>
        <w:jc w:val="both"/>
        <w:rPr>
          <w:bCs/>
        </w:rPr>
      </w:pPr>
      <w:r>
        <w:t>Ņemot vērā, ka l</w:t>
      </w:r>
      <w:r w:rsidR="0004700F">
        <w:t xml:space="preserve">īdzīgs regulējums jau pastāv </w:t>
      </w:r>
      <w:r>
        <w:t xml:space="preserve">attiecībā uz </w:t>
      </w:r>
      <w:r w:rsidRPr="00477B65">
        <w:t>valsts akciju sabiedrības "Latvijas gaisa satiksme" un Civilās aviācijas aģentūras funkciju un resursu nodošanu Latvijas Na</w:t>
      </w:r>
      <w:r>
        <w:t xml:space="preserve">cionālajiem bruņotajiem spēkiem valsts apdraudējuma gadījumā, lūdzu iekļaut Likumprojektā jaunu </w:t>
      </w:r>
      <w:r w:rsidR="00AA44FD">
        <w:rPr>
          <w:bCs/>
        </w:rPr>
        <w:t>12</w:t>
      </w:r>
      <w:r w:rsidRPr="00151897">
        <w:rPr>
          <w:bCs/>
        </w:rPr>
        <w:t>.</w:t>
      </w:r>
      <w:r w:rsidRPr="00151897">
        <w:rPr>
          <w:bCs/>
          <w:vertAlign w:val="superscript"/>
        </w:rPr>
        <w:t>1</w:t>
      </w:r>
      <w:r w:rsidRPr="00151897">
        <w:rPr>
          <w:bCs/>
        </w:rPr>
        <w:t xml:space="preserve"> pantu “Ministru kabineta tiesības valsts apdraudējuma gadījumā” šādā redakcijā:</w:t>
      </w:r>
    </w:p>
    <w:p w:rsidRPr="003949CB" w:rsidR="003949CB" w:rsidP="003949CB">
      <w:pPr>
        <w:pStyle w:val="ListParagraph"/>
        <w:spacing w:after="0" w:line="240" w:lineRule="auto"/>
        <w:ind w:left="927"/>
        <w:jc w:val="both"/>
        <w:rPr>
          <w:bCs/>
          <w:i/>
        </w:rPr>
      </w:pPr>
      <w:r w:rsidRPr="003949CB">
        <w:rPr>
          <w:bCs/>
        </w:rPr>
        <w:t>“</w:t>
      </w:r>
      <w:r w:rsidR="00AA44FD">
        <w:rPr>
          <w:bCs/>
          <w:i/>
        </w:rPr>
        <w:t>12</w:t>
      </w:r>
      <w:r w:rsidRPr="00151897">
        <w:rPr>
          <w:bCs/>
          <w:i/>
        </w:rPr>
        <w:t>.</w:t>
      </w:r>
      <w:r w:rsidRPr="00151897">
        <w:rPr>
          <w:bCs/>
          <w:i/>
          <w:vertAlign w:val="superscript"/>
        </w:rPr>
        <w:t xml:space="preserve"> 1</w:t>
      </w:r>
      <w:r w:rsidRPr="00151897">
        <w:rPr>
          <w:bCs/>
          <w:i/>
        </w:rPr>
        <w:t xml:space="preserve"> pants. Ministru kabineta tiesības valsts apdraudējuma gadījumā</w:t>
      </w:r>
      <w:r w:rsidR="00CA7D43">
        <w:rPr>
          <w:bCs/>
          <w:i/>
        </w:rPr>
        <w:t>.</w:t>
      </w:r>
    </w:p>
    <w:p w:rsidRPr="003949CB" w:rsidR="003949CB" w:rsidP="003949CB">
      <w:pPr>
        <w:pStyle w:val="ListParagraph"/>
        <w:spacing w:after="0" w:line="240" w:lineRule="auto"/>
        <w:ind w:left="927"/>
        <w:jc w:val="both"/>
        <w:rPr>
          <w:b/>
          <w:bCs/>
        </w:rPr>
      </w:pPr>
      <w:r w:rsidRPr="003949CB">
        <w:rPr>
          <w:bCs/>
          <w:i/>
        </w:rPr>
        <w:t>Valsts apdraudējuma gadījumā Ministru kabinets var pieņemt lēmumu par valsts akciju sabiedrību ​ “Latvijas Valsts radio un televīzijas centrs” un “Elektroniskie sakari” funkciju un resursu nodošanu Latvijas Nacionālajiem bruņotajiem spēkiem. Kārtību, kādā valsts apdraudējuma gadījumā valsts akciju “Latvijas Valsts radio un televīzijas centrs” un “Elektroniskie sakari”  nodod funkcijas un resursus Latvijas Nacionālajiem bruņotajiem spēkiem, un šo funkciju un resursu apjomu nosaka Ministru kabinets</w:t>
      </w:r>
      <w:r w:rsidRPr="003949CB">
        <w:rPr>
          <w:bCs/>
        </w:rPr>
        <w:t>.”</w:t>
      </w:r>
    </w:p>
    <w:p w:rsidR="00300795" w:rsidP="00011612">
      <w:pPr>
        <w:pStyle w:val="ListParagraph"/>
        <w:numPr>
          <w:ilvl w:val="0"/>
          <w:numId w:val="13"/>
        </w:numPr>
        <w:spacing w:after="0" w:line="240" w:lineRule="auto"/>
        <w:jc w:val="both"/>
      </w:pPr>
      <w:r>
        <w:t>Ņemot vērā, ka r</w:t>
      </w:r>
      <w:r w:rsidRPr="00F82D6A">
        <w:t>adiofrekvenču lie</w:t>
      </w:r>
      <w:r w:rsidR="00032C99">
        <w:t>totājam ir jābūt informētam radio</w:t>
      </w:r>
      <w:r w:rsidRPr="00F82D6A">
        <w:t>frekvenču</w:t>
      </w:r>
      <w:r>
        <w:t xml:space="preserve"> </w:t>
      </w:r>
      <w:r w:rsidR="00032C99">
        <w:t xml:space="preserve">lietošanas </w:t>
      </w:r>
      <w:r>
        <w:t>atļaujas saņemšanas brīdī, ka i</w:t>
      </w:r>
      <w:r w:rsidRPr="00F82D6A">
        <w:t>zņēmuma stāvokļa gadījumā radiofrekvences izmantošana būs jāpārtrauc</w:t>
      </w:r>
      <w:r w:rsidR="00032C99">
        <w:t>, š</w:t>
      </w:r>
      <w:r w:rsidRPr="00F82D6A">
        <w:t xml:space="preserve">ai informācijai ir jābūt norādītai </w:t>
      </w:r>
      <w:r w:rsidR="00032C99">
        <w:t>radio</w:t>
      </w:r>
      <w:r w:rsidRPr="00F82D6A">
        <w:t>frekvenču lietošanas atļau</w:t>
      </w:r>
      <w:r w:rsidR="00032C99">
        <w:t xml:space="preserve">jā, </w:t>
      </w:r>
      <w:r>
        <w:t xml:space="preserve">nevis </w:t>
      </w:r>
      <w:r w:rsidR="00032C99">
        <w:t xml:space="preserve">jābūt pieejamai </w:t>
      </w:r>
      <w:r>
        <w:t>tikai tad, kad ir iestājies i</w:t>
      </w:r>
      <w:r w:rsidRPr="00F82D6A">
        <w:t xml:space="preserve">zņēmuma stāvoklis. </w:t>
      </w:r>
      <w:r>
        <w:t xml:space="preserve">Ņemot vērā iepriekš minēto, lūdzu papildināt Likumprojekta 52. pantu ar 3. punktu šādā redakcijā: </w:t>
      </w:r>
    </w:p>
    <w:p w:rsidRPr="00195B52" w:rsidR="00F82D6A" w:rsidP="00F82D6A">
      <w:pPr>
        <w:pStyle w:val="ListParagraph"/>
        <w:spacing w:after="0" w:line="240" w:lineRule="auto"/>
        <w:ind w:left="927"/>
        <w:jc w:val="both"/>
        <w:rPr>
          <w:i/>
        </w:rPr>
      </w:pPr>
      <w:r w:rsidRPr="00195B52">
        <w:rPr>
          <w:i/>
        </w:rPr>
        <w:t>“3) Izņēmuma stāvokļa gadījumā jāatbrīvo radiofrekvenču spektra joslas, kuras nepieciešamas valsts aizsardzības vajadzībām. Izdevumi vai zaudējumi, kas saistīti ar radiofrekvenču spektra joslas atbrīvošanu netiek segti.”;</w:t>
      </w:r>
    </w:p>
    <w:p w:rsidR="00300795" w:rsidP="00F82D6A">
      <w:pPr>
        <w:pStyle w:val="ListParagraph"/>
        <w:numPr>
          <w:ilvl w:val="0"/>
          <w:numId w:val="13"/>
        </w:numPr>
        <w:spacing w:after="0" w:line="240" w:lineRule="auto"/>
        <w:jc w:val="both"/>
      </w:pPr>
      <w:r>
        <w:t xml:space="preserve">Papildināt Likumprojekta </w:t>
      </w:r>
      <w:r w:rsidR="00F82D6A">
        <w:t>5</w:t>
      </w:r>
      <w:r>
        <w:t xml:space="preserve">5. pantu ar 3. punktu šādā redakcijā: </w:t>
      </w:r>
    </w:p>
    <w:p w:rsidRPr="00195B52" w:rsidR="00300795" w:rsidP="00300795">
      <w:pPr>
        <w:pStyle w:val="ListParagraph"/>
        <w:spacing w:after="0" w:line="240" w:lineRule="auto"/>
        <w:ind w:left="927"/>
        <w:jc w:val="both"/>
        <w:rPr>
          <w:i/>
        </w:rPr>
      </w:pPr>
      <w:r w:rsidRPr="00195B52">
        <w:rPr>
          <w:i/>
        </w:rPr>
        <w:t>“(3) Izņēmuma stāvokļa gadījumā radiofrekvenču pārņemšana valsts aizsardzībai no civilas un militāras koplietošanas vai civilajām radiosakaru sistēmām notiek saskaņā ar valsts akciju sabiedrības “Elektroniskie sakari” saskaņotu frekvenču plānu.”.</w:t>
      </w:r>
    </w:p>
    <w:p w:rsidRPr="003055D8" w:rsidR="003055D8" w:rsidP="003055D8">
      <w:pPr>
        <w:pStyle w:val="ListParagraph"/>
        <w:spacing w:after="0" w:line="240" w:lineRule="auto"/>
        <w:ind w:left="927"/>
        <w:jc w:val="both"/>
      </w:pPr>
      <w:r w:rsidRPr="003055D8">
        <w:t>AM vērš uzmanību, ka iepriekš minētā plāna izstrāde ir apjomīgs darbs, kā arī šis plāns ir regulāri jāatjauno. Attiecīgi pēc izņēmuma stāvokļa izsludināšanas ir jārealizē iepriekš izstrādāts un apstiprināts plāns, nevis tikai jāuzsāk darbs pie tā sagatavošanas.</w:t>
      </w:r>
    </w:p>
    <w:p w:rsidR="00300795" w:rsidP="00195B52">
      <w:pPr>
        <w:pStyle w:val="ListParagraph"/>
        <w:numPr>
          <w:ilvl w:val="0"/>
          <w:numId w:val="13"/>
        </w:numPr>
        <w:spacing w:after="0" w:line="240" w:lineRule="auto"/>
        <w:jc w:val="both"/>
      </w:pPr>
      <w:r>
        <w:t xml:space="preserve">Papildināt Likumprojekta </w:t>
      </w:r>
      <w:r w:rsidR="00032C99">
        <w:t xml:space="preserve">6. panta pirmo </w:t>
      </w:r>
      <w:r w:rsidR="0054514B">
        <w:t xml:space="preserve">daļu ar 17. </w:t>
      </w:r>
      <w:r>
        <w:t xml:space="preserve">punktu šādā redakcijā: </w:t>
      </w:r>
    </w:p>
    <w:p w:rsidRPr="0054514B" w:rsidR="009F4FBB" w:rsidP="0054514B">
      <w:pPr>
        <w:pStyle w:val="ListParagraph"/>
        <w:spacing w:after="0" w:line="240" w:lineRule="auto"/>
        <w:ind w:left="927"/>
        <w:jc w:val="both"/>
        <w:rPr>
          <w:i/>
        </w:rPr>
      </w:pPr>
      <w:r w:rsidRPr="00032C99">
        <w:rPr>
          <w:i/>
        </w:rPr>
        <w:t>“17) koordinē frekvenču joslu pārņemšanu Aizsardzības ministrijas lieto</w:t>
      </w:r>
      <w:r w:rsidR="0054514B">
        <w:rPr>
          <w:i/>
        </w:rPr>
        <w:t xml:space="preserve">šanā </w:t>
      </w:r>
      <w:r w:rsidR="00011612">
        <w:rPr>
          <w:i/>
        </w:rPr>
        <w:t>i</w:t>
      </w:r>
      <w:r w:rsidR="0054514B">
        <w:rPr>
          <w:i/>
        </w:rPr>
        <w:t>zņēmuma stāvokļa gadījumā</w:t>
      </w:r>
      <w:r w:rsidRPr="0054514B">
        <w:rPr>
          <w:i/>
        </w:rPr>
        <w:t>”</w:t>
      </w:r>
      <w:r w:rsidR="0054514B">
        <w:t>.</w:t>
      </w:r>
    </w:p>
    <w:p w:rsidR="00032C99" w:rsidP="009F4FBB">
      <w:pPr>
        <w:pStyle w:val="ListParagraph"/>
        <w:spacing w:after="0" w:line="240" w:lineRule="auto"/>
        <w:ind w:left="927"/>
        <w:jc w:val="both"/>
      </w:pPr>
      <w:r>
        <w:t>Papildinājums nepieciešams, lai</w:t>
      </w:r>
      <w:r w:rsidRPr="00032C99">
        <w:t xml:space="preserve"> no </w:t>
      </w:r>
      <w:r>
        <w:t>valsts akciju sabiedrības “Elektroniskie sakari”</w:t>
      </w:r>
      <w:r w:rsidRPr="00032C99">
        <w:t xml:space="preserve"> puses </w:t>
      </w:r>
      <w:r>
        <w:t>nodrošinātu frekvenču</w:t>
      </w:r>
      <w:r w:rsidRPr="00032C99">
        <w:t xml:space="preserve"> lietotāju informēšanu par frekvenču lietošanas pārtraukšanu, korektu iekārtu izslēgšanu un frekvenču nodošanu </w:t>
      </w:r>
      <w:r w:rsidRPr="005849AF">
        <w:t>Latvijas Nacionāl</w:t>
      </w:r>
      <w:r>
        <w:t>o</w:t>
      </w:r>
      <w:r w:rsidRPr="005849AF">
        <w:t xml:space="preserve"> bruņot</w:t>
      </w:r>
      <w:r>
        <w:t>o</w:t>
      </w:r>
      <w:r w:rsidRPr="005849AF">
        <w:t xml:space="preserve"> spēk</w:t>
      </w:r>
      <w:r>
        <w:t>u</w:t>
      </w:r>
      <w:r w:rsidRPr="00032C99">
        <w:t xml:space="preserve"> rīcībā</w:t>
      </w:r>
      <w:r>
        <w:t xml:space="preserve"> izņēmuma stāvokļa gadījumā.</w:t>
      </w:r>
    </w:p>
    <w:p w:rsidRPr="001B4444" w:rsidR="001B4444" w:rsidP="00011612">
      <w:pPr>
        <w:pStyle w:val="ListParagraph"/>
        <w:numPr>
          <w:ilvl w:val="0"/>
          <w:numId w:val="13"/>
        </w:numPr>
        <w:tabs>
          <w:tab w:val="left" w:pos="6663"/>
        </w:tabs>
        <w:spacing w:after="0" w:line="240" w:lineRule="auto"/>
        <w:jc w:val="both"/>
        <w:rPr>
          <w:color w:val="000000" w:themeColor="text1"/>
          <w:lang w:eastAsia="en-US"/>
        </w:rPr>
      </w:pPr>
      <w:r>
        <w:t>AM iebilst pret Likumprojekta 103.panta “Informācijas sniegšana oficiālās statistikas nodrošināšanai” tvēruma paplašināšanu, salīdzinot ar iepriekšējo Likumprojekta redakciju.</w:t>
      </w:r>
    </w:p>
    <w:p w:rsidR="001B4444" w:rsidP="001B4444">
      <w:pPr>
        <w:pStyle w:val="ListParagraph"/>
        <w:tabs>
          <w:tab w:val="left" w:pos="6663"/>
        </w:tabs>
        <w:spacing w:after="0" w:line="240" w:lineRule="auto"/>
        <w:ind w:left="927"/>
        <w:jc w:val="both"/>
        <w:rPr>
          <w:color w:val="000000" w:themeColor="text1"/>
          <w:lang w:eastAsia="en-US"/>
        </w:rPr>
      </w:pPr>
      <w:r>
        <w:rPr>
          <w:color w:val="000000" w:themeColor="text1"/>
          <w:lang w:eastAsia="en-US"/>
        </w:rPr>
        <w:t xml:space="preserve">Izmantojot </w:t>
      </w:r>
      <w:r>
        <w:rPr>
          <w:color w:val="000000" w:themeColor="text1"/>
          <w:lang w:eastAsia="en-US"/>
        </w:rPr>
        <w:t>pseidonimizāciju</w:t>
      </w:r>
      <w:r>
        <w:rPr>
          <w:color w:val="000000" w:themeColor="text1"/>
          <w:lang w:eastAsia="en-US"/>
        </w:rPr>
        <w:t>, ikviena mobilo sakaru gal</w:t>
      </w:r>
      <w:r w:rsidRPr="001B4444" w:rsidR="00320D45">
        <w:rPr>
          <w:color w:val="000000" w:themeColor="text1"/>
          <w:lang w:eastAsia="en-US"/>
        </w:rPr>
        <w:t xml:space="preserve">iekārta tiek apzīmēta ar unikālu un nemainīgu identifikatoru. Lai gan datu </w:t>
      </w:r>
      <w:r w:rsidRPr="001B4444" w:rsidR="00320D45">
        <w:rPr>
          <w:color w:val="000000" w:themeColor="text1"/>
          <w:lang w:eastAsia="en-US"/>
        </w:rPr>
        <w:t>pseidonimizācija</w:t>
      </w:r>
      <w:r w:rsidRPr="001B4444" w:rsidR="00320D45">
        <w:rPr>
          <w:color w:val="000000" w:themeColor="text1"/>
          <w:lang w:eastAsia="en-US"/>
        </w:rPr>
        <w:t xml:space="preserve"> kopumā var tikt izmantota kā lietderīga datu aizsardzības metode, tā tomēr nav pielīdzināma</w:t>
      </w:r>
      <w:r>
        <w:rPr>
          <w:color w:val="000000" w:themeColor="text1"/>
          <w:lang w:eastAsia="en-US"/>
        </w:rPr>
        <w:t xml:space="preserve"> </w:t>
      </w:r>
      <w:r>
        <w:rPr>
          <w:color w:val="000000" w:themeColor="text1"/>
          <w:lang w:eastAsia="en-US"/>
        </w:rPr>
        <w:t>anonimizācijai</w:t>
      </w:r>
      <w:r w:rsidRPr="001B4444" w:rsidR="00320D45">
        <w:rPr>
          <w:color w:val="000000" w:themeColor="text1"/>
          <w:lang w:eastAsia="en-US"/>
        </w:rPr>
        <w:t>, jo nespēj novērst visus ar datu apstrādi saistītos drošības riskus.</w:t>
      </w:r>
    </w:p>
    <w:p w:rsidR="001B4444" w:rsidP="001B4444">
      <w:pPr>
        <w:pStyle w:val="ListParagraph"/>
        <w:tabs>
          <w:tab w:val="left" w:pos="6663"/>
        </w:tabs>
        <w:spacing w:after="0" w:line="240" w:lineRule="auto"/>
        <w:ind w:left="927"/>
        <w:jc w:val="both"/>
        <w:rPr>
          <w:color w:val="000000" w:themeColor="text1"/>
          <w:lang w:eastAsia="en-US"/>
        </w:rPr>
      </w:pPr>
      <w:r w:rsidRPr="00341465">
        <w:rPr>
          <w:color w:val="000000" w:themeColor="text1"/>
          <w:lang w:eastAsia="en-US"/>
        </w:rPr>
        <w:t xml:space="preserve">Nacionālie bruņotie spēki rīko nacionālas un starptautiskas mācības, kur pulcējas dažāds skaits Latvijas un citu valstu karavīru un zemessargu, tāpat Latvijas teritorijā uzturas NATO sabiedroto spēki. Šī informācija ir </w:t>
      </w:r>
      <w:r w:rsidRPr="00341465">
        <w:rPr>
          <w:color w:val="000000" w:themeColor="text1"/>
          <w:lang w:eastAsia="en-US"/>
        </w:rPr>
        <w:t>sensitīva</w:t>
      </w:r>
      <w:r w:rsidRPr="00341465">
        <w:rPr>
          <w:color w:val="000000" w:themeColor="text1"/>
          <w:lang w:eastAsia="en-US"/>
        </w:rPr>
        <w:t xml:space="preserve"> (informācija par cilvēku skaitu, plūsmu militārajos poligonos un militāro mācību laikā) un ir kritiski vērtējama kā objektīvs rādītā</w:t>
      </w:r>
      <w:r w:rsidR="00275C13">
        <w:rPr>
          <w:color w:val="000000" w:themeColor="text1"/>
          <w:lang w:eastAsia="en-US"/>
        </w:rPr>
        <w:t>js statistikas nodrošināšanai.</w:t>
      </w:r>
    </w:p>
    <w:p w:rsidR="00320D45" w:rsidP="009F0648">
      <w:pPr>
        <w:pStyle w:val="ListParagraph"/>
        <w:tabs>
          <w:tab w:val="left" w:pos="6663"/>
        </w:tabs>
        <w:spacing w:after="0" w:line="240" w:lineRule="auto"/>
        <w:ind w:left="927"/>
        <w:jc w:val="both"/>
      </w:pPr>
      <w:r>
        <w:rPr>
          <w:color w:val="000000" w:themeColor="text1"/>
          <w:lang w:eastAsia="en-US"/>
        </w:rPr>
        <w:t>Ņemot vērā iepriekš minēto, lūdzu papildināt Likumprojekta 103. pantu ar atrunu, ka Centrālā statistikas pārvalde</w:t>
      </w:r>
      <w:r w:rsidRPr="00341465">
        <w:rPr>
          <w:color w:val="000000" w:themeColor="text1"/>
          <w:lang w:eastAsia="en-US"/>
        </w:rPr>
        <w:t xml:space="preserve"> neizplata apstrādātos datus par</w:t>
      </w:r>
      <w:r>
        <w:rPr>
          <w:color w:val="000000" w:themeColor="text1"/>
          <w:lang w:eastAsia="en-US"/>
        </w:rPr>
        <w:t xml:space="preserve"> </w:t>
      </w:r>
      <w:r w:rsidRPr="00341465">
        <w:rPr>
          <w:color w:val="000000" w:themeColor="text1"/>
          <w:lang w:eastAsia="en-US"/>
        </w:rPr>
        <w:t>ter</w:t>
      </w:r>
      <w:r>
        <w:rPr>
          <w:color w:val="000000" w:themeColor="text1"/>
          <w:lang w:eastAsia="en-US"/>
        </w:rPr>
        <w:t>itorijām militāro mācību laikā</w:t>
      </w:r>
      <w:r w:rsidRPr="00341465">
        <w:rPr>
          <w:color w:val="000000" w:themeColor="text1"/>
          <w:lang w:eastAsia="en-US"/>
        </w:rPr>
        <w:t xml:space="preserve"> </w:t>
      </w:r>
      <w:r>
        <w:rPr>
          <w:color w:val="000000" w:themeColor="text1"/>
          <w:lang w:eastAsia="en-US"/>
        </w:rPr>
        <w:t xml:space="preserve">un </w:t>
      </w:r>
      <w:r w:rsidRPr="00341465">
        <w:rPr>
          <w:color w:val="000000" w:themeColor="text1"/>
          <w:lang w:eastAsia="en-US"/>
        </w:rPr>
        <w:t>militār</w:t>
      </w:r>
      <w:r>
        <w:rPr>
          <w:color w:val="000000" w:themeColor="text1"/>
          <w:lang w:eastAsia="en-US"/>
        </w:rPr>
        <w:t>ajiem objektiem.</w:t>
      </w:r>
    </w:p>
    <w:p w:rsidRPr="00FA0713" w:rsidR="00567483" w:rsidP="00567483">
      <w:pPr>
        <w:pStyle w:val="ListParagraph"/>
        <w:numPr>
          <w:ilvl w:val="0"/>
          <w:numId w:val="13"/>
        </w:numPr>
        <w:spacing w:after="0" w:line="240" w:lineRule="auto"/>
        <w:jc w:val="both"/>
      </w:pPr>
      <w:r>
        <w:t xml:space="preserve">AM atkārtoti vērš uzmanību, ka </w:t>
      </w:r>
      <w:r w:rsidRPr="00FA0713">
        <w:t xml:space="preserve">Informācijas tehnoloģiju drošības likumā (turpmāk – </w:t>
      </w:r>
      <w:r w:rsidRPr="00FA0713">
        <w:t xml:space="preserve">ITDL) ir iekļautas tiesību normas, kas izriet no un attiecīgi </w:t>
      </w:r>
      <w:r>
        <w:t xml:space="preserve">ir </w:t>
      </w:r>
      <w:r w:rsidRPr="00FA0713">
        <w:t>atsauce uz Eiropas Parlamenta un Padomes 2009. gada 25. novembra direktīvu 2009/140/EK, ar ko izdara grozījumus direktīvā 2002/21/EK par kopējiem reglamentējošiem noteikumiem attiecībā uz elektronisko komunikāciju tīkliem un pakalpojumiem, direktīvā 2002/19/EK par piekļuvi elektronisko komunikāciju tīkliem un ar tiem saistītām iekārtām un to savstarpēju savienojumu un direktīvā 2002/20/EK par elektronisko komunikāciju tīklu un pakalpojumu atļaušanu. Savukārt Eiropas Parlamenta un Padomes Direktīvas 2018/1972 par Eiropas Elektronisko sakaru kodeksa izveidi (turpmāk – Elektronisko sakaru kodekss) 125. pants paredz, ka “</w:t>
      </w:r>
      <w:r w:rsidRPr="001918C7">
        <w:rPr>
          <w:i/>
        </w:rPr>
        <w:t>Direktīvas 2002/19/EK, 2002/20/EK, 2002/21/EK un 2002/22/EK, kā uzskaitīts XII pielikuma A daļā, atceļ no 2020. gada 21. decembra, [...]</w:t>
      </w:r>
      <w:r w:rsidRPr="00FA0713">
        <w:t>”. Ņemot vērā iepriekš minēto, lūdzu, sniegt skaidrojumu par plānotajām darbībām, lai attiecīgi precizētu  ITDL normas, tai skaitā sadaļā “Informatīva atsauce uz Eiropas Savienības direktīvām”.</w:t>
      </w:r>
    </w:p>
    <w:p w:rsidR="00567483" w:rsidP="00567483">
      <w:pPr>
        <w:pStyle w:val="ListParagraph"/>
        <w:numPr>
          <w:ilvl w:val="0"/>
          <w:numId w:val="13"/>
        </w:numPr>
        <w:spacing w:after="0" w:line="240" w:lineRule="auto"/>
        <w:jc w:val="both"/>
      </w:pPr>
      <w:r>
        <w:t>AM atkārtoti vērš uzmanību, ka nepieciešams precizēt Likumprojekta anotācijas V. sadaļas 1. tabulā norādes uz nacionālajiem normatīvajiem aktiem, piemēram, attiecībā uz Elektronisko sakaru kodeksa:</w:t>
      </w:r>
    </w:p>
    <w:p w:rsidR="00567483" w:rsidP="00567483">
      <w:pPr>
        <w:pStyle w:val="ListParagraph"/>
        <w:numPr>
          <w:ilvl w:val="0"/>
          <w:numId w:val="14"/>
        </w:numPr>
        <w:spacing w:after="0" w:line="240" w:lineRule="auto"/>
        <w:jc w:val="both"/>
      </w:pPr>
      <w:r>
        <w:t xml:space="preserve">40. panta 2. punktu – jāpapildina ar atsauci uz ITDL 9. panta trešo daļu, kas nosaka Ministru kabineta kompetenci noteikt drošības incidenta būtiskuma kritērijus;  </w:t>
      </w:r>
    </w:p>
    <w:p w:rsidR="00567483" w:rsidP="00567483">
      <w:pPr>
        <w:pStyle w:val="ListParagraph"/>
        <w:numPr>
          <w:ilvl w:val="0"/>
          <w:numId w:val="14"/>
        </w:numPr>
        <w:spacing w:after="0" w:line="240" w:lineRule="auto"/>
        <w:jc w:val="both"/>
      </w:pPr>
      <w:r>
        <w:t>4</w:t>
      </w:r>
      <w:r w:rsidRPr="00101D90">
        <w:t>1</w:t>
      </w:r>
      <w:r>
        <w:t>. panta 2. punkta “a” apakšpunktu – jāpapildina ar atsauci uz ITDL 9. panta otro daļu, jo Ministru kabineta 2011.gada 26.aprīļa noteikumu Nr.327 “Noteikumi par elektronisko sakaru komersantu rīcības plānā ietveramo informāciju, šā plāna izpildes kontroli un kārtību, kādā galalietotājiem tiek īslaicīgi slēgta piekļuve elektronisko sakaru tīklam un par drošības incidentu būtiskuma kritērijiem” 7. punkts paredz pienākumu rīcības plānu iesniegt CERT.LV;</w:t>
      </w:r>
    </w:p>
    <w:p w:rsidR="00567483" w:rsidP="00567483">
      <w:pPr>
        <w:pStyle w:val="ListParagraph"/>
        <w:numPr>
          <w:ilvl w:val="0"/>
          <w:numId w:val="14"/>
        </w:numPr>
        <w:spacing w:after="0" w:line="240" w:lineRule="auto"/>
        <w:jc w:val="both"/>
      </w:pPr>
      <w:r>
        <w:t>41. panta 4. punktu – jāpapildina ar atsauci uz ITDL 4. panta pirmās daļas 1. punktu;</w:t>
      </w:r>
    </w:p>
    <w:p w:rsidR="00567483" w:rsidP="00567483">
      <w:pPr>
        <w:pStyle w:val="ListParagraph"/>
        <w:numPr>
          <w:ilvl w:val="0"/>
          <w:numId w:val="14"/>
        </w:numPr>
        <w:spacing w:after="0" w:line="240" w:lineRule="auto"/>
        <w:jc w:val="both"/>
      </w:pPr>
      <w:r>
        <w:t xml:space="preserve">41. panta 5. punktu – jāpapildina ar atsauci uz ITDL 5. panta pirmās daļas 5. punktu. Jāņem vērā, ka ITDL 4.1 pants attiecas tikai uz sadarbību starp informācijas tehnoloģiju drošības incidentu novēršanas institūcijām. </w:t>
      </w:r>
    </w:p>
    <w:p w:rsidRPr="009B5631" w:rsidR="00567483" w:rsidP="00C36A49">
      <w:pPr>
        <w:pStyle w:val="ListParagraph"/>
        <w:widowControl/>
        <w:numPr>
          <w:ilvl w:val="0"/>
          <w:numId w:val="13"/>
        </w:numPr>
        <w:spacing w:after="0" w:line="240" w:lineRule="auto"/>
        <w:jc w:val="both"/>
      </w:pPr>
      <w:r>
        <w:t xml:space="preserve">AM atkārtoti vērš uzmanību, ka </w:t>
      </w:r>
      <w:r w:rsidRPr="009B5631">
        <w:t>Likumprojekta redakcijā un anotācijā nav viennozīmīgi skaidrs, kā  nacionālajās normās tiks pārņemta Elektronisko sakaru kodeksa V sadaļas “Drošība” 40. un 41. panta prasības, jo īpaši:</w:t>
      </w:r>
    </w:p>
    <w:p w:rsidRPr="009B5631" w:rsidR="00567483" w:rsidP="00567483">
      <w:pPr>
        <w:pStyle w:val="ListParagraph"/>
        <w:widowControl/>
        <w:numPr>
          <w:ilvl w:val="0"/>
          <w:numId w:val="18"/>
        </w:numPr>
        <w:spacing w:after="0" w:line="240" w:lineRule="auto"/>
        <w:ind w:left="1418" w:hanging="425"/>
        <w:jc w:val="both"/>
      </w:pPr>
      <w:r w:rsidRPr="009B5631">
        <w:t>40. panta 1. punktā dalībvalstīm uzlikts pienākums nodrošināt to, ka publisko elektronisko sakaru tīklu vai publiski pieejamu elektronisko sakaru pakalpojumu sniedzēji veic piemērotus un samērīgus tehniskus un organizatoriskus pasākumus, lai atbilstīgi pārvarētu tīklu un pakalpojumu drošības apdraudē</w:t>
      </w:r>
      <w:r>
        <w:t>jumus. Savukārt Likumprojekta 16</w:t>
      </w:r>
      <w:r w:rsidRPr="009B5631">
        <w:t xml:space="preserve">. panta otrās daļas 7. un 9. punkts attiecīgi fokusējas uz lietotāju datu aizsardzību un elektronisko sakaru tīklu integritāti. Aizsardzības ministrija vērš uzmanību, ka ITDL nenosaka publisko elektronisko sakaru tīklu tehniskās prasības pakalpojumu drošības nodrošināšanai; </w:t>
      </w:r>
    </w:p>
    <w:p w:rsidRPr="009B5631" w:rsidR="00567483" w:rsidP="00567483">
      <w:pPr>
        <w:pStyle w:val="ListParagraph"/>
        <w:widowControl/>
        <w:numPr>
          <w:ilvl w:val="0"/>
          <w:numId w:val="18"/>
        </w:numPr>
        <w:spacing w:after="0" w:line="240" w:lineRule="auto"/>
        <w:ind w:left="1418" w:hanging="425"/>
        <w:jc w:val="both"/>
      </w:pPr>
      <w:r w:rsidRPr="009B5631">
        <w:t xml:space="preserve">40. panta 2. punkts paredz attiecīgās kompetentās iestādes pienākumu informēt citu valstu kompetentās iestādes un Eiropas Savienības </w:t>
      </w:r>
      <w:r w:rsidRPr="009B5631">
        <w:t>Kiberdrošības</w:t>
      </w:r>
      <w:r w:rsidRPr="009B5631">
        <w:t xml:space="preserve"> aģentūru (turpmāk – ENISA); tiesības informēt sabiedrību vai prasīt, lai to darītu pakalpojumu sniedzēji; pienākumu iesniegt Eiropas Komisijai un ENISA kopsavilkuma ziņojumu par saņemtajiem paziņojumiem. Ja ar normā minēto kompetento institūciju nacionāli ir saprotama Informācijas tehnoloģiju drošības incidentu novēršanas institūcija CERT.LV (turpmāk – CERT.LV), Aizsardzības ministrija informē, ka ITDL 5.pantā CERT.LV noteiktās tiesības un pienākumi nav attiecināmi uz direktīvā noteiktajiem;  </w:t>
      </w:r>
    </w:p>
    <w:p w:rsidRPr="009B5631" w:rsidR="00567483" w:rsidP="00567483">
      <w:pPr>
        <w:pStyle w:val="ListParagraph"/>
        <w:widowControl/>
        <w:numPr>
          <w:ilvl w:val="0"/>
          <w:numId w:val="18"/>
        </w:numPr>
        <w:spacing w:after="0" w:line="240" w:lineRule="auto"/>
        <w:ind w:left="1418" w:hanging="425"/>
        <w:jc w:val="both"/>
      </w:pPr>
      <w:r w:rsidRPr="009B5631">
        <w:t xml:space="preserve">41. panta 1. punkts paredz, noteikt kompetentajai iestādei tiesību dot saistošus norādījumus </w:t>
      </w:r>
      <w:r w:rsidRPr="009B5631">
        <w:rPr>
          <w:iCs/>
        </w:rPr>
        <w:t>elektronisko sakaru pakalpojumu sniedzējiem dot saistošus norādījumus – arī par to, kā novērst drošības incidentu vai to nepieļaut, ja ir konstatēts ievērojams apdraudējums, – un noteikt īstenošanas termiņus.</w:t>
      </w:r>
      <w:r w:rsidRPr="009B5631">
        <w:t xml:space="preserve"> Aizsardzības ministrija vērš uzmanību, ka ITDL nerisina šo jautājumu, jo CERT.LV norādījumiem ir rekomendējošs raksturs, izņemot attiecībā uz valsts vai pašvaldības institūcijām, informācijas tehnoloģiju kritiskās infrastruktūras īpašnieku vai tiesisko valdītāju, pamatpakalpojuma sniedzēju un digitālā pakalpojuma sniedzēju;</w:t>
      </w:r>
    </w:p>
    <w:p w:rsidRPr="00567483" w:rsidR="00567483" w:rsidP="00567483">
      <w:pPr>
        <w:pStyle w:val="ListParagraph"/>
        <w:widowControl/>
        <w:numPr>
          <w:ilvl w:val="0"/>
          <w:numId w:val="18"/>
        </w:numPr>
        <w:spacing w:after="0" w:line="240" w:lineRule="auto"/>
        <w:ind w:left="1418" w:hanging="425"/>
        <w:jc w:val="both"/>
      </w:pPr>
      <w:r w:rsidRPr="009B5631">
        <w:t>41. panta 3. punkts paredz </w:t>
      </w:r>
      <w:r w:rsidRPr="009B5631">
        <w:rPr>
          <w:iCs/>
        </w:rPr>
        <w:t xml:space="preserve">dalībvalstīm pienākumu nodrošina, ka kompetentajām iestādēm ir visas vajadzīgās pilnvaras izmeklēt noteikumu neievērošanas gadījumus </w:t>
      </w:r>
      <w:r w:rsidRPr="00567483">
        <w:rPr>
          <w:iCs/>
        </w:rPr>
        <w:t>un to iespaidu uz tīklu un pakalpojumu drošību.</w:t>
      </w:r>
      <w:r w:rsidRPr="00567483">
        <w:t xml:space="preserve"> Anotācijā ir norādīta atsauce uz ITDL 5.pantu. Nepieciešams precizēt, kuras tieši normas to paredz, jo AM ieskatā tiesības veikt pārbaudi CERT.LV nav paredzētas, izņemot, ja konstatēti būtiski drošības vai integritātes pārkāpumi, kad var prasīt veikt drošības auditu.</w:t>
      </w:r>
    </w:p>
    <w:p w:rsidRPr="00567483" w:rsidR="00014961" w:rsidP="00C36A49">
      <w:pPr>
        <w:pStyle w:val="Heading2"/>
        <w:numPr>
          <w:ilvl w:val="0"/>
          <w:numId w:val="13"/>
        </w:numPr>
        <w:spacing w:before="0" w:line="240" w:lineRule="auto"/>
        <w:jc w:val="both"/>
        <w:rPr>
          <w:rFonts w:cs="Times New Roman"/>
          <w:b w:val="0"/>
        </w:rPr>
      </w:pPr>
      <w:r w:rsidRPr="00567483">
        <w:rPr>
          <w:rFonts w:eastAsia="Calibri" w:cs="Times New Roman"/>
          <w:b w:val="0"/>
          <w:szCs w:val="24"/>
          <w:shd w:val="clear" w:color="auto" w:fill="auto"/>
        </w:rPr>
        <w:t>Lūdzu precizēt Likumprojekta 16. panta</w:t>
      </w:r>
      <w:r w:rsidRPr="00567483" w:rsidR="00300795">
        <w:rPr>
          <w:rFonts w:eastAsia="Calibri" w:cs="Times New Roman"/>
          <w:b w:val="0"/>
          <w:szCs w:val="24"/>
          <w:shd w:val="clear" w:color="auto" w:fill="auto"/>
        </w:rPr>
        <w:t xml:space="preserve"> </w:t>
      </w:r>
      <w:r w:rsidRPr="00567483">
        <w:rPr>
          <w:rFonts w:eastAsia="Calibri" w:cs="Times New Roman"/>
          <w:b w:val="0"/>
          <w:szCs w:val="24"/>
          <w:shd w:val="clear" w:color="auto" w:fill="auto"/>
        </w:rPr>
        <w:t>“</w:t>
      </w:r>
      <w:r w:rsidRPr="00567483" w:rsidR="00300795">
        <w:rPr>
          <w:rFonts w:eastAsia="Calibri" w:cs="Times New Roman"/>
          <w:b w:val="0"/>
          <w:szCs w:val="24"/>
          <w:shd w:val="clear" w:color="auto" w:fill="auto"/>
        </w:rPr>
        <w:t>Elektronisko</w:t>
      </w:r>
      <w:r w:rsidRPr="00567483" w:rsidR="00300795">
        <w:rPr>
          <w:rFonts w:cs="Times New Roman"/>
          <w:b w:val="0"/>
        </w:rPr>
        <w:t xml:space="preserve"> sakaru komersanta </w:t>
      </w:r>
      <w:r w:rsidRPr="00567483">
        <w:rPr>
          <w:rFonts w:cs="Times New Roman"/>
          <w:b w:val="0"/>
        </w:rPr>
        <w:t xml:space="preserve">tiesības un pienākumi” ceturtās daļas </w:t>
      </w:r>
      <w:r w:rsidR="00567483">
        <w:rPr>
          <w:rFonts w:cs="Times New Roman"/>
          <w:b w:val="0"/>
        </w:rPr>
        <w:t>11.</w:t>
      </w:r>
      <w:r w:rsidRPr="00567483">
        <w:rPr>
          <w:rFonts w:cs="Times New Roman"/>
          <w:b w:val="0"/>
        </w:rPr>
        <w:t xml:space="preserve"> punktā lietoto izsaukumu un </w:t>
      </w:r>
      <w:r w:rsidRPr="00567483">
        <w:rPr>
          <w:rFonts w:cs="Times New Roman"/>
          <w:b w:val="0"/>
        </w:rPr>
        <w:t>videoizsaukumu</w:t>
      </w:r>
      <w:r w:rsidRPr="00567483">
        <w:rPr>
          <w:rFonts w:cs="Times New Roman"/>
          <w:b w:val="0"/>
        </w:rPr>
        <w:t xml:space="preserve"> kvalitātes apzīmējumu “standarta kvalitātē”, jo no esošās redakcijas nav skaidrs kādā kvalitātē pakalpojums ir nodrošināms.</w:t>
      </w:r>
    </w:p>
    <w:p w:rsidRPr="00567483" w:rsidR="009F4FBB" w:rsidP="00011612">
      <w:pPr>
        <w:pStyle w:val="Heading2"/>
        <w:numPr>
          <w:ilvl w:val="0"/>
          <w:numId w:val="13"/>
        </w:numPr>
        <w:spacing w:before="0" w:line="240" w:lineRule="auto"/>
        <w:jc w:val="both"/>
        <w:rPr>
          <w:rFonts w:cs="Times New Roman"/>
          <w:b w:val="0"/>
        </w:rPr>
      </w:pPr>
      <w:r w:rsidRPr="00567483">
        <w:rPr>
          <w:rFonts w:cs="Times New Roman"/>
          <w:b w:val="0"/>
        </w:rPr>
        <w:t xml:space="preserve">Lūdzu precizēt Likumprojekta </w:t>
      </w:r>
      <w:r w:rsidRPr="00567483" w:rsidR="00300795">
        <w:rPr>
          <w:rFonts w:cs="Times New Roman"/>
          <w:b w:val="0"/>
          <w:bCs/>
        </w:rPr>
        <w:t>31. pant</w:t>
      </w:r>
      <w:r w:rsidRPr="00567483">
        <w:rPr>
          <w:rFonts w:cs="Times New Roman"/>
          <w:b w:val="0"/>
          <w:bCs/>
        </w:rPr>
        <w:t>a</w:t>
      </w:r>
      <w:r w:rsidRPr="00567483" w:rsidR="00300795">
        <w:rPr>
          <w:rFonts w:cs="Times New Roman"/>
          <w:b w:val="0"/>
          <w:bCs/>
        </w:rPr>
        <w:t xml:space="preserve"> </w:t>
      </w:r>
      <w:r w:rsidRPr="00567483">
        <w:rPr>
          <w:rFonts w:cs="Times New Roman"/>
          <w:b w:val="0"/>
          <w:bCs/>
        </w:rPr>
        <w:t>“</w:t>
      </w:r>
      <w:r w:rsidRPr="00567483" w:rsidR="00300795">
        <w:rPr>
          <w:rFonts w:cs="Times New Roman"/>
          <w:b w:val="0"/>
          <w:bCs/>
        </w:rPr>
        <w:t>Elektronisko sakaru tīklu galiekārtu un radioiekārtu izplatīšanas un lietošanas aizliegumi</w:t>
      </w:r>
      <w:r w:rsidRPr="00567483">
        <w:rPr>
          <w:rFonts w:cs="Times New Roman"/>
          <w:b w:val="0"/>
          <w:bCs/>
        </w:rPr>
        <w:t xml:space="preserve">” tvērumu, jo, </w:t>
      </w:r>
      <w:r w:rsidRPr="00567483">
        <w:rPr>
          <w:rFonts w:cs="Times New Roman"/>
          <w:b w:val="0"/>
        </w:rPr>
        <w:t>piemēram, maršrutētāju vides piekļuves vadības (MAC) adrešu maiņa ir viena no tīklu aizsardzības metodēm. Tāpat šāda funkcionalitāte ir jau iebūvēta atsevišķākās operētājsistēmām (</w:t>
      </w:r>
      <w:r w:rsidRPr="00567483">
        <w:rPr>
          <w:rFonts w:cs="Times New Roman"/>
          <w:b w:val="0"/>
        </w:rPr>
        <w:t>Linux</w:t>
      </w:r>
      <w:r w:rsidRPr="00567483">
        <w:rPr>
          <w:rFonts w:cs="Times New Roman"/>
          <w:b w:val="0"/>
        </w:rPr>
        <w:t>) un maršrutētājos. Ja šis pants attiecas uz jebkādām galiekārtām, ir nepieciešama atruna, ka šī panta prasības neattiecas uz aizsardzības nozari.</w:t>
      </w:r>
    </w:p>
    <w:p w:rsidRPr="00567483" w:rsidR="009F4FBB" w:rsidP="00AE1FFA">
      <w:pPr>
        <w:pStyle w:val="ListParagraph"/>
        <w:numPr>
          <w:ilvl w:val="0"/>
          <w:numId w:val="13"/>
        </w:numPr>
        <w:spacing w:after="0" w:line="240" w:lineRule="auto"/>
        <w:jc w:val="both"/>
        <w:rPr>
          <w:rStyle w:val="eop"/>
        </w:rPr>
      </w:pPr>
      <w:r w:rsidRPr="00567483">
        <w:rPr>
          <w:rStyle w:val="eop"/>
          <w:bCs/>
        </w:rPr>
        <w:t>Lūdzu precizēt Likumprojekta 34. pantā</w:t>
      </w:r>
      <w:r w:rsidRPr="00567483" w:rsidR="00300795">
        <w:rPr>
          <w:rStyle w:val="eop"/>
          <w:bCs/>
        </w:rPr>
        <w:t xml:space="preserve"> </w:t>
      </w:r>
      <w:r w:rsidRPr="00567483">
        <w:rPr>
          <w:rStyle w:val="eop"/>
          <w:bCs/>
        </w:rPr>
        <w:t>“</w:t>
      </w:r>
      <w:r w:rsidRPr="00567483" w:rsidR="00300795">
        <w:rPr>
          <w:rStyle w:val="eop"/>
          <w:bCs/>
        </w:rPr>
        <w:t>Informācijas prasības par līgumu</w:t>
      </w:r>
      <w:r w:rsidRPr="00567483">
        <w:rPr>
          <w:rStyle w:val="eop"/>
          <w:bCs/>
        </w:rPr>
        <w:t>” otrajā daļā lietoto apzīmējumu</w:t>
      </w:r>
      <w:r w:rsidRPr="00567483" w:rsidR="00300795">
        <w:rPr>
          <w:rStyle w:val="eop"/>
        </w:rPr>
        <w:t xml:space="preserve"> </w:t>
      </w:r>
      <w:r w:rsidRPr="00567483">
        <w:rPr>
          <w:rStyle w:val="eop"/>
        </w:rPr>
        <w:t>“</w:t>
      </w:r>
      <w:r w:rsidRPr="00567483" w:rsidR="00300795">
        <w:rPr>
          <w:rStyle w:val="eop"/>
        </w:rPr>
        <w:t xml:space="preserve">viegli </w:t>
      </w:r>
      <w:r w:rsidRPr="00567483" w:rsidR="00300795">
        <w:rPr>
          <w:rStyle w:val="eop"/>
        </w:rPr>
        <w:t>lejuplādējams</w:t>
      </w:r>
      <w:r w:rsidRPr="00567483" w:rsidR="00300795">
        <w:rPr>
          <w:rStyle w:val="eop"/>
        </w:rPr>
        <w:t xml:space="preserve"> dokuments</w:t>
      </w:r>
      <w:r w:rsidRPr="00567483">
        <w:rPr>
          <w:rStyle w:val="eop"/>
        </w:rPr>
        <w:t>”, jo no esošās redakcijas nav skaidrs, kādām lejupielādes prasībām dokumentam ir jāatbilst.</w:t>
      </w:r>
    </w:p>
    <w:p w:rsidRPr="00567483" w:rsidR="00D75996" w:rsidP="00D75996">
      <w:pPr>
        <w:pStyle w:val="ListParagraph"/>
        <w:numPr>
          <w:ilvl w:val="0"/>
          <w:numId w:val="13"/>
        </w:numPr>
        <w:spacing w:after="0" w:line="240" w:lineRule="auto"/>
        <w:jc w:val="both"/>
        <w:rPr>
          <w:rStyle w:val="eop"/>
        </w:rPr>
      </w:pPr>
      <w:r w:rsidRPr="00567483">
        <w:rPr>
          <w:rStyle w:val="eop"/>
        </w:rPr>
        <w:t>Papildināt Likumprojektu ar jaunu pantu šādā redakcijā:</w:t>
      </w:r>
    </w:p>
    <w:p w:rsidRPr="00567483" w:rsidR="00D75996" w:rsidP="00D75996">
      <w:pPr>
        <w:pStyle w:val="ListParagraph"/>
        <w:spacing w:after="0" w:line="240" w:lineRule="auto"/>
        <w:ind w:left="927"/>
        <w:jc w:val="both"/>
        <w:rPr>
          <w:rStyle w:val="eop"/>
          <w:i/>
        </w:rPr>
      </w:pPr>
      <w:r w:rsidRPr="00567483">
        <w:rPr>
          <w:rStyle w:val="eop"/>
          <w:i/>
        </w:rPr>
        <w:t xml:space="preserve">“Valsts </w:t>
      </w:r>
      <w:r w:rsidRPr="00567483">
        <w:rPr>
          <w:rStyle w:val="eop"/>
          <w:i/>
        </w:rPr>
        <w:t>padraudējuma</w:t>
      </w:r>
      <w:r w:rsidRPr="00567483">
        <w:rPr>
          <w:rStyle w:val="eop"/>
          <w:i/>
        </w:rPr>
        <w:t xml:space="preserve"> pārvarēšana.</w:t>
      </w:r>
    </w:p>
    <w:p w:rsidRPr="00567483" w:rsidR="00D75996" w:rsidP="00D75996">
      <w:pPr>
        <w:pStyle w:val="ListParagraph"/>
        <w:spacing w:after="0" w:line="240" w:lineRule="auto"/>
        <w:ind w:left="927"/>
        <w:jc w:val="both"/>
        <w:rPr>
          <w:rStyle w:val="eop"/>
        </w:rPr>
      </w:pPr>
      <w:r w:rsidRPr="00567483">
        <w:rPr>
          <w:rStyle w:val="eop"/>
          <w:i/>
        </w:rPr>
        <w:t>Ministrs kabinets nosaka kārtību kādā Nacionālie bruņotie spēki un valsts akciju sabiedrība “Elektroniskie sakari” nodrošina sadarbību valsts apdraudējuma gadījumā.”.</w:t>
      </w:r>
    </w:p>
    <w:p w:rsidRPr="00567483" w:rsidR="00D75996" w:rsidP="00D75996">
      <w:pPr>
        <w:pStyle w:val="ListParagraph"/>
        <w:spacing w:after="0" w:line="240" w:lineRule="auto"/>
        <w:ind w:left="927"/>
        <w:jc w:val="both"/>
        <w:rPr>
          <w:rStyle w:val="eop"/>
        </w:rPr>
      </w:pPr>
      <w:r w:rsidRPr="00567483">
        <w:rPr>
          <w:rStyle w:val="eop"/>
        </w:rPr>
        <w:t>Kārtībai, kādā Nacionālie bruņotie spēki un valsts akciju sabiedrība “Elektroniskie sakari sadarbojas valsts apdraudējuma gadījumā ir jābūt izstrādātai savlaic</w:t>
      </w:r>
      <w:r w:rsidRPr="00567483" w:rsidR="00B57E58">
        <w:rPr>
          <w:rStyle w:val="eop"/>
        </w:rPr>
        <w:t>īgi. P</w:t>
      </w:r>
      <w:r w:rsidRPr="00567483">
        <w:rPr>
          <w:rStyle w:val="eop"/>
        </w:rPr>
        <w:t>ēc attiecīga lēmuma pieņem</w:t>
      </w:r>
      <w:r w:rsidRPr="00567483" w:rsidR="00B57E58">
        <w:rPr>
          <w:rStyle w:val="eop"/>
        </w:rPr>
        <w:t xml:space="preserve">šanas notiek </w:t>
      </w:r>
      <w:r w:rsidRPr="00567483">
        <w:rPr>
          <w:rStyle w:val="eop"/>
        </w:rPr>
        <w:t>šīs kārtības īstenošana, nevis tiek uzsākts darbs pie t</w:t>
      </w:r>
      <w:r w:rsidRPr="00567483" w:rsidR="00B57E58">
        <w:rPr>
          <w:rStyle w:val="eop"/>
        </w:rPr>
        <w:t>ās izstrādes</w:t>
      </w:r>
      <w:r w:rsidRPr="00567483">
        <w:rPr>
          <w:rStyle w:val="eop"/>
        </w:rPr>
        <w:t>.</w:t>
      </w:r>
    </w:p>
    <w:p w:rsidRPr="00BD34ED" w:rsidR="00300795" w:rsidP="00BD34ED">
      <w:pPr>
        <w:spacing w:after="0" w:line="240" w:lineRule="auto"/>
        <w:ind w:firstLine="567"/>
        <w:jc w:val="both"/>
        <w:rPr>
          <w:bCs/>
        </w:rPr>
      </w:pPr>
      <w:r>
        <w:rPr>
          <w:rStyle w:val="eop"/>
          <w:bCs/>
        </w:rPr>
        <w:t xml:space="preserve">Vienlaikus AM izsaka šādu </w:t>
      </w:r>
      <w:r w:rsidRPr="009E00B1">
        <w:rPr>
          <w:rStyle w:val="eop"/>
          <w:b/>
          <w:bCs/>
        </w:rPr>
        <w:t>priekšlikumu</w:t>
      </w:r>
      <w:r>
        <w:rPr>
          <w:rStyle w:val="eop"/>
          <w:bCs/>
        </w:rPr>
        <w:t xml:space="preserve">: </w:t>
      </w:r>
      <w:r w:rsidR="00BD34ED">
        <w:rPr>
          <w:rStyle w:val="eop"/>
          <w:bCs/>
        </w:rPr>
        <w:t>p</w:t>
      </w:r>
      <w:r w:rsidRPr="00BD34ED">
        <w:rPr>
          <w:rStyle w:val="eop"/>
          <w:bCs/>
        </w:rPr>
        <w:t xml:space="preserve">apildināt Likumprojekta </w:t>
      </w:r>
      <w:r w:rsidRPr="009B5631">
        <w:t>II nodaļu “Valsts pārvalde elektronisko sakaru nozarē” ar jaun</w:t>
      </w:r>
      <w:r>
        <w:t xml:space="preserve">iem pantiem, kuri paredz </w:t>
      </w:r>
      <w:r w:rsidRPr="00BD34ED" w:rsidR="00AE1FFA">
        <w:rPr>
          <w:rStyle w:val="eop"/>
          <w:bCs/>
        </w:rPr>
        <w:t>v</w:t>
      </w:r>
      <w:r w:rsidRPr="00BD34ED">
        <w:rPr>
          <w:rStyle w:val="eop"/>
          <w:bCs/>
        </w:rPr>
        <w:t>alsts akciju sabiedrības "Latvijas Valsts radio un televīzijas centrs” kompetenci un tiesības.</w:t>
      </w:r>
    </w:p>
    <w:p w:rsidRPr="00E8725D" w:rsidR="00E8725D" w:rsidP="00661C8F">
      <w:pPr>
        <w:tabs>
          <w:tab w:val="left" w:pos="6663"/>
        </w:tabs>
        <w:spacing w:after="0" w:line="240" w:lineRule="auto"/>
        <w:jc w:val="both"/>
      </w:pPr>
    </w:p>
    <w:p w:rsidRPr="00E8725D" w:rsidR="007A2264" w:rsidP="00661C8F">
      <w:pPr>
        <w:tabs>
          <w:tab w:val="left" w:pos="6663"/>
        </w:tabs>
        <w:spacing w:after="0" w:line="240" w:lineRule="auto"/>
        <w:jc w:val="both"/>
        <w:rPr>
          <w:noProof/>
        </w:rPr>
      </w:pPr>
      <w:r w:rsidRPr="00E8725D">
        <w:rPr>
          <w:noProof/>
        </w:rPr>
        <w:t>Valsts sekretāra</w:t>
      </w:r>
      <w:r w:rsidRPr="00E8725D" w:rsidR="00625B5E">
        <w:rPr>
          <w:noProof/>
        </w:rPr>
        <w:t xml:space="preserve"> </w:t>
      </w:r>
      <w:r w:rsidRPr="00E8725D" w:rsidR="00FA0713">
        <w:rPr>
          <w:noProof/>
        </w:rPr>
        <w:t>p.i.</w:t>
      </w:r>
      <w:r w:rsidRPr="00E8725D">
        <w:tab/>
      </w:r>
      <w:r w:rsidRPr="00E8725D">
        <w:rPr>
          <w:noProof/>
        </w:rPr>
        <w:t>Mārtiņš Paškēvičs</w:t>
      </w:r>
    </w:p>
    <w:p w:rsidR="00E8725D" w:rsidP="00661C8F">
      <w:pPr>
        <w:tabs>
          <w:tab w:val="left" w:pos="6663"/>
        </w:tabs>
        <w:spacing w:after="0" w:line="240" w:lineRule="auto"/>
        <w:jc w:val="both"/>
      </w:pPr>
    </w:p>
    <w:p w:rsidR="00E8725D" w:rsidP="00661C8F">
      <w:pPr>
        <w:tabs>
          <w:tab w:val="left" w:pos="6663"/>
        </w:tabs>
        <w:spacing w:after="0" w:line="240" w:lineRule="auto"/>
        <w:jc w:val="both"/>
      </w:pPr>
    </w:p>
    <w:p w:rsidRPr="00661C8F" w:rsidR="00E8725D" w:rsidP="00661C8F">
      <w:pPr>
        <w:tabs>
          <w:tab w:val="left" w:pos="6663"/>
        </w:tabs>
        <w:spacing w:after="0" w:line="240" w:lineRule="auto"/>
        <w:jc w:val="both"/>
      </w:pPr>
    </w:p>
    <w:p w:rsidRPr="00661C8F" w:rsidR="007A2264" w:rsidP="00661C8F">
      <w:pPr>
        <w:spacing w:after="0" w:line="240" w:lineRule="auto"/>
        <w:jc w:val="both"/>
        <w:rPr>
          <w:sz w:val="16"/>
          <w:szCs w:val="16"/>
        </w:rPr>
      </w:pPr>
      <w:r w:rsidRPr="00661C8F">
        <w:rPr>
          <w:noProof/>
          <w:sz w:val="16"/>
          <w:szCs w:val="16"/>
        </w:rPr>
        <w:t>Gatis Mezītis</w:t>
      </w:r>
      <w:r w:rsidRPr="00661C8F">
        <w:rPr>
          <w:sz w:val="16"/>
          <w:szCs w:val="16"/>
        </w:rPr>
        <w:t xml:space="preserve">, </w:t>
      </w:r>
      <w:r w:rsidRPr="00661C8F">
        <w:rPr>
          <w:noProof/>
          <w:sz w:val="16"/>
          <w:szCs w:val="16"/>
        </w:rPr>
        <w:t>67335350</w:t>
      </w:r>
    </w:p>
    <w:p w:rsidR="00661C8F" w:rsidP="00275C13">
      <w:pPr>
        <w:spacing w:after="0" w:line="240" w:lineRule="auto"/>
        <w:jc w:val="both"/>
        <w:rPr>
          <w:noProof/>
          <w:sz w:val="16"/>
          <w:szCs w:val="16"/>
        </w:rPr>
      </w:pPr>
      <w:r w:rsidRPr="007819B2">
        <w:rPr>
          <w:noProof/>
          <w:sz w:val="16"/>
          <w:szCs w:val="16"/>
        </w:rPr>
        <w:t>Gatis.Mezitis@mod.gov.lv</w:t>
      </w:r>
    </w:p>
    <w:p w:rsidR="007819B2" w:rsidP="007819B2">
      <w:pPr>
        <w:spacing w:after="0" w:line="240" w:lineRule="auto"/>
        <w:jc w:val="both"/>
        <w:rPr>
          <w:noProof/>
          <w:sz w:val="16"/>
          <w:szCs w:val="16"/>
        </w:rPr>
      </w:pPr>
    </w:p>
    <w:p w:rsidR="007819B2" w:rsidP="007819B2">
      <w:pPr>
        <w:spacing w:after="0" w:line="240" w:lineRule="auto"/>
        <w:jc w:val="both"/>
        <w:rPr>
          <w:noProof/>
          <w:sz w:val="16"/>
          <w:szCs w:val="16"/>
        </w:rPr>
      </w:pPr>
      <w:r>
        <w:rPr>
          <w:noProof/>
          <w:sz w:val="16"/>
          <w:szCs w:val="16"/>
        </w:rPr>
        <w:t>Aivars.Plenkovs, 67335141</w:t>
      </w:r>
    </w:p>
    <w:p w:rsidRPr="00104688" w:rsidR="007819B2" w:rsidP="00275C13">
      <w:pPr>
        <w:spacing w:after="0" w:line="240" w:lineRule="auto"/>
        <w:jc w:val="both"/>
        <w:rPr>
          <w:noProof/>
          <w:sz w:val="16"/>
          <w:szCs w:val="16"/>
        </w:rPr>
      </w:pPr>
      <w:r>
        <w:rPr>
          <w:noProof/>
          <w:sz w:val="16"/>
          <w:szCs w:val="16"/>
        </w:rPr>
        <w:t>Aivars.Plenkovs@mod.gov.lv</w:t>
      </w:r>
    </w:p>
    <w:sectPr w:rsidSect="00330D43">
      <w:headerReference w:type="even" r:id="rId4"/>
      <w:headerReference w:type="default" r:id="rId5"/>
      <w:footerReference w:type="even" r:id="rId6"/>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Italic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6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51131823"/>
      <w:docPartObj>
        <w:docPartGallery w:val="Page Numbers (Bottom of Page)"/>
        <w:docPartUnique/>
      </w:docPartObj>
    </w:sdtPr>
    <w:sdtContent>
      <w:p w:rsidR="00011612" w:rsidP="00104688">
        <w:pPr>
          <w:pStyle w:val="Footer"/>
          <w:jc w:val="center"/>
        </w:pPr>
        <w:r w:rsidRPr="002D7FAB">
          <w:rPr>
            <w:rFonts w:ascii="TimesNewRomanPS-ItalicMT" w:hAnsi="TimesNewRomanPS-ItalicMT"/>
            <w:iCs/>
            <w:sz w:val="20"/>
            <w:szCs w:val="20"/>
          </w:rPr>
          <w:t>DOKUMENTS IR ELEKTRONISKI PARAKSTĪTS AR DROŠU ELEKTRONISKO PARAKSTU UN SATUR LAIKA ZĪMOGU</w:t>
        </w:r>
      </w:p>
      <w:p w:rsidR="00011612" w:rsidRPr="00104688" w:rsidP="00104688">
        <w:pPr>
          <w:pStyle w:val="Footer"/>
          <w:jc w:val="right"/>
          <w:rPr>
            <w:bCs/>
          </w:rPr>
        </w:pPr>
        <w:sdt>
          <w:sdtPr>
            <w:id w:val="1112964446"/>
            <w:docPartObj>
              <w:docPartGallery w:val="Page Numbers (Top of Page)"/>
              <w:docPartUnique/>
            </w:docPartObj>
          </w:sdtPr>
          <w:sdtContent>
            <w:r w:rsidRPr="00104688" w:rsidR="00DB31BD">
              <w:rPr>
                <w:bCs/>
              </w:rPr>
              <w:fldChar w:fldCharType="begin"/>
            </w:r>
            <w:r w:rsidRPr="00104688" w:rsidR="00DB31BD">
              <w:rPr>
                <w:bCs/>
              </w:rPr>
              <w:instrText xml:space="preserve"> PAGE </w:instrText>
            </w:r>
            <w:r w:rsidRPr="00104688" w:rsidR="00DB31BD">
              <w:rPr>
                <w:bCs/>
              </w:rPr>
              <w:fldChar w:fldCharType="separate"/>
            </w:r>
            <w:r w:rsidRPr="00104688" w:rsidR="00DB31BD">
              <w:rPr>
                <w:bCs/>
              </w:rPr>
              <w:t>4</w:t>
            </w:r>
            <w:r w:rsidRPr="00104688" w:rsidR="00DB31BD">
              <w:rPr>
                <w:bCs/>
              </w:rPr>
              <w:fldChar w:fldCharType="end"/>
            </w:r>
            <w:r w:rsidRPr="00104688" w:rsidR="00DB31BD">
              <w:t xml:space="preserve"> - </w:t>
            </w:r>
            <w:r w:rsidRPr="00104688" w:rsidR="00DB31BD">
              <w:rPr>
                <w:bCs/>
              </w:rPr>
              <w:fldChar w:fldCharType="begin"/>
            </w:r>
            <w:r w:rsidRPr="00104688" w:rsidR="00DB31BD">
              <w:rPr>
                <w:bCs/>
              </w:rPr>
              <w:instrText xml:space="preserve"> NUMPAGES  </w:instrText>
            </w:r>
            <w:r w:rsidRPr="00104688" w:rsidR="00DB31BD">
              <w:rPr>
                <w:bCs/>
              </w:rPr>
              <w:fldChar w:fldCharType="separate"/>
            </w:r>
            <w:r w:rsidRPr="00104688" w:rsidR="00DB31BD">
              <w:rPr>
                <w:bCs/>
              </w:rPr>
              <w:t>4</w:t>
            </w:r>
            <w:r w:rsidRPr="00104688" w:rsidR="00DB31BD">
              <w:rPr>
                <w:bCs/>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612" w:rsidRPr="00661C8F" w:rsidP="00661C8F">
    <w:pPr>
      <w:spacing w:after="0" w:line="240" w:lineRule="auto"/>
      <w:jc w:val="center"/>
    </w:pPr>
    <w:r w:rsidRPr="002D7FAB">
      <w:rPr>
        <w:rFonts w:ascii="TimesNewRomanPS-ItalicMT" w:hAnsi="TimesNewRomanPS-ItalicMT"/>
        <w:iCs/>
        <w:sz w:val="20"/>
        <w:szCs w:val="20"/>
      </w:rPr>
      <w:t>DOKUMENTS IR ELEKTRONISKI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6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612">
    <w:pPr>
      <w:pStyle w:val="Heade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1612" w:rsidP="00BE56C2">
    <w:pPr>
      <w:pStyle w:val="Header"/>
      <w:tabs>
        <w:tab w:val="clear" w:pos="4320"/>
      </w:tabs>
      <w:spacing w:before="2880"/>
    </w:pPr>
  </w:p>
  <w:tbl>
    <w:tblPr>
      <w:tblW w:w="7796" w:type="dxa"/>
      <w:tblInd w:w="-142" w:type="dxa"/>
      <w:tblLayout w:type="fixed"/>
      <w:tblLook w:val="0000"/>
    </w:tblPr>
    <w:tblGrid>
      <w:gridCol w:w="3969"/>
      <w:gridCol w:w="3827"/>
    </w:tblGrid>
    <w:tr w:rsidTr="006C25E2">
      <w:tblPrEx>
        <w:tblW w:w="7796" w:type="dxa"/>
        <w:tblInd w:w="-142" w:type="dxa"/>
        <w:tblLayout w:type="fixed"/>
        <w:tblLook w:val="0000"/>
      </w:tblPrEx>
      <w:trPr>
        <w:cantSplit/>
      </w:trPr>
      <w:tc>
        <w:tcPr>
          <w:tcW w:w="3969" w:type="dxa"/>
        </w:tcPr>
        <w:p w:rsidRPr="00C56EDF" w:rsidR="00011612" w:rsidP="00DD3458">
          <w:pPr>
            <w:pStyle w:val="Header"/>
            <w:tabs>
              <w:tab w:val="clear" w:pos="4320"/>
            </w:tabs>
            <w:spacing w:before="120"/>
            <w:rPr>
              <w:color w:val="000000"/>
              <w:lang w:eastAsia="en-US"/>
            </w:rPr>
          </w:pPr>
          <w:r w:rsidRPr="006C25E2">
            <w:rPr>
              <w:color w:val="000000"/>
              <w:lang w:eastAsia="en-US"/>
            </w:rPr>
            <w:t xml:space="preserve">Rīgā, </w:t>
          </w:r>
          <w:r w:rsidR="00C2056F">
            <w:rPr>
              <w:noProof/>
            </w:rPr>
            <w:t>28.12.2020</w:t>
          </w:r>
          <w:bookmarkStart w:name="_GoBack" w:id="0"/>
          <w:bookmarkEnd w:id="0"/>
        </w:p>
      </w:tc>
      <w:tc>
        <w:tcPr>
          <w:tcW w:w="3827" w:type="dxa"/>
        </w:tcPr>
        <w:p w:rsidRPr="0099125D" w:rsidR="00011612" w:rsidP="00DD3458">
          <w:pPr>
            <w:pStyle w:val="Header"/>
            <w:tabs>
              <w:tab w:val="clear" w:pos="4320"/>
            </w:tabs>
            <w:spacing w:before="120"/>
            <w:rPr>
              <w:color w:val="000000"/>
              <w:lang w:val="en-US" w:eastAsia="en-US"/>
            </w:rPr>
          </w:pPr>
          <w:r>
            <w:rPr>
              <w:color w:val="000000"/>
              <w:lang w:val="en-US" w:eastAsia="en-US"/>
            </w:rPr>
            <w:t xml:space="preserve">Nr. </w:t>
          </w:r>
          <w:r>
            <w:rPr>
              <w:noProof/>
              <w:color w:val="000000"/>
              <w:lang w:val="en-US" w:eastAsia="en-US"/>
            </w:rPr>
            <w:t>MV-N/3008</w:t>
          </w:r>
        </w:p>
      </w:tc>
    </w:tr>
  </w:tbl>
  <w:p w:rsidRPr="008669E5" w:rsidR="00011612" w:rsidP="005B7C76">
    <w:pPr>
      <w:pStyle w:val="Header"/>
      <w:tabs>
        <w:tab w:val="left" w:pos="3969"/>
        <w:tab w:val="clear" w:pos="4320"/>
      </w:tabs>
      <w:spacing w:before="120"/>
    </w:pPr>
    <w:r w:rsidRPr="008669E5">
      <w:rPr>
        <w:noProof/>
      </w:rPr>
      <w:drawing>
        <wp:anchor distT="0" distB="0" distL="114300" distR="114300" simplePos="0" relativeHeight="251658240" behindDoc="1" locked="0" layoutInCell="1" allowOverlap="1">
          <wp:simplePos x="0" y="0"/>
          <wp:positionH relativeFrom="page">
            <wp:posOffset>1094740</wp:posOffset>
          </wp:positionH>
          <wp:positionV relativeFrom="page">
            <wp:posOffset>647700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67940"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8669E5">
      <w:rPr>
        <w:noProof/>
      </w:rPr>
      <mc:AlternateContent>
        <mc:Choice Requires="wps">
          <w:drawing>
            <wp:anchor distT="0" distB="0" distL="114300" distR="114300" simplePos="0" relativeHeight="251660288" behindDoc="1" locked="0" layoutInCell="1" allowOverlap="1">
              <wp:simplePos x="0" y="0"/>
              <wp:positionH relativeFrom="page">
                <wp:posOffset>1171575</wp:posOffset>
              </wp:positionH>
              <wp:positionV relativeFrom="page">
                <wp:posOffset>2049780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Pr="008669E5" w:rsidR="00011612" w:rsidP="009A40B4">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Pr>
                              <w:rFonts w:eastAsia="Times New Roman"/>
                              <w:color w:val="231F20"/>
                              <w:sz w:val="17"/>
                              <w:szCs w:val="17"/>
                            </w:rPr>
                            <w:t>emāra iela 10/12, Rīga, LV-1473;</w:t>
                          </w:r>
                          <w:r w:rsidRPr="008669E5">
                            <w:rPr>
                              <w:rFonts w:eastAsia="Times New Roman"/>
                              <w:color w:val="231F20"/>
                              <w:sz w:val="17"/>
                              <w:szCs w:val="17"/>
                            </w:rPr>
                            <w:t xml:space="preserve"> tālr.</w:t>
                          </w:r>
                          <w:r>
                            <w:rPr>
                              <w:rFonts w:eastAsia="Times New Roman"/>
                              <w:color w:val="231F20"/>
                              <w:sz w:val="17"/>
                              <w:szCs w:val="17"/>
                            </w:rPr>
                            <w:t>:</w:t>
                          </w:r>
                          <w:r w:rsidRPr="008669E5">
                            <w:rPr>
                              <w:rFonts w:eastAsia="Times New Roman"/>
                              <w:color w:val="231F20"/>
                              <w:sz w:val="17"/>
                              <w:szCs w:val="17"/>
                            </w:rPr>
                            <w:t xml:space="preserve"> 67210124</w:t>
                          </w:r>
                          <w:r>
                            <w:rPr>
                              <w:rFonts w:eastAsia="Times New Roman"/>
                              <w:color w:val="231F20"/>
                              <w:sz w:val="17"/>
                              <w:szCs w:val="17"/>
                            </w:rPr>
                            <w:t>;</w:t>
                          </w:r>
                          <w:r w:rsidRPr="008669E5">
                            <w:rPr>
                              <w:rFonts w:eastAsia="Times New Roman"/>
                              <w:color w:val="231F20"/>
                              <w:sz w:val="17"/>
                              <w:szCs w:val="17"/>
                            </w:rPr>
                            <w:t xml:space="preserve"> e-pasts</w:t>
                          </w:r>
                          <w:r>
                            <w:rPr>
                              <w:rFonts w:eastAsia="Times New Roman"/>
                              <w:color w:val="231F20"/>
                              <w:sz w:val="17"/>
                              <w:szCs w:val="17"/>
                            </w:rPr>
                            <w:t>:</w:t>
                          </w:r>
                          <w:r w:rsidRPr="008669E5">
                            <w:rPr>
                              <w:rFonts w:eastAsia="Times New Roman"/>
                              <w:color w:val="231F20"/>
                              <w:sz w:val="17"/>
                              <w:szCs w:val="17"/>
                            </w:rPr>
                            <w:t xml:space="preserve"> kanceleja@mod.gov.lv</w:t>
                          </w:r>
                          <w:r>
                            <w:rPr>
                              <w:rFonts w:eastAsia="Times New Roman"/>
                              <w:color w:val="231F20"/>
                              <w:sz w:val="17"/>
                              <w:szCs w:val="17"/>
                            </w:rPr>
                            <w:t>;</w:t>
                          </w:r>
                          <w:r w:rsidRPr="008669E5">
                            <w:rPr>
                              <w:rFonts w:eastAsia="Times New Roman"/>
                              <w:color w:val="231F20"/>
                              <w:sz w:val="17"/>
                              <w:szCs w:val="17"/>
                            </w:rPr>
                            <w:t xml:space="preserve"> www.mod.gov.lv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style="width:459.75pt;height:24.75pt;margin-top:161.4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o:spid="_x0000_s2049" filled="f" stroked="f" type="#_x0000_t202">
              <v:textbox inset="0,0,0,0">
                <w:txbxContent>
                  <w:p w:rsidRPr="008669E5" w:rsidR="00011612" w:rsidP="009A40B4">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Pr>
                        <w:rFonts w:eastAsia="Times New Roman"/>
                        <w:color w:val="231F20"/>
                        <w:sz w:val="17"/>
                        <w:szCs w:val="17"/>
                      </w:rPr>
                      <w:t>emāra iela 10/12, Rīga, LV-1473;</w:t>
                    </w:r>
                    <w:r w:rsidRPr="008669E5">
                      <w:rPr>
                        <w:rFonts w:eastAsia="Times New Roman"/>
                        <w:color w:val="231F20"/>
                        <w:sz w:val="17"/>
                        <w:szCs w:val="17"/>
                      </w:rPr>
                      <w:t xml:space="preserve"> tālr.</w:t>
                    </w:r>
                    <w:r>
                      <w:rPr>
                        <w:rFonts w:eastAsia="Times New Roman"/>
                        <w:color w:val="231F20"/>
                        <w:sz w:val="17"/>
                        <w:szCs w:val="17"/>
                      </w:rPr>
                      <w:t>:</w:t>
                    </w:r>
                    <w:r w:rsidRPr="008669E5">
                      <w:rPr>
                        <w:rFonts w:eastAsia="Times New Roman"/>
                        <w:color w:val="231F20"/>
                        <w:sz w:val="17"/>
                        <w:szCs w:val="17"/>
                      </w:rPr>
                      <w:t xml:space="preserve"> 67210124</w:t>
                    </w:r>
                    <w:r>
                      <w:rPr>
                        <w:rFonts w:eastAsia="Times New Roman"/>
                        <w:color w:val="231F20"/>
                        <w:sz w:val="17"/>
                        <w:szCs w:val="17"/>
                      </w:rPr>
                      <w:t>;</w:t>
                    </w:r>
                    <w:r w:rsidRPr="008669E5">
                      <w:rPr>
                        <w:rFonts w:eastAsia="Times New Roman"/>
                        <w:color w:val="231F20"/>
                        <w:sz w:val="17"/>
                        <w:szCs w:val="17"/>
                      </w:rPr>
                      <w:t xml:space="preserve"> e-pasts</w:t>
                    </w:r>
                    <w:r>
                      <w:rPr>
                        <w:rFonts w:eastAsia="Times New Roman"/>
                        <w:color w:val="231F20"/>
                        <w:sz w:val="17"/>
                        <w:szCs w:val="17"/>
                      </w:rPr>
                      <w:t>:</w:t>
                    </w:r>
                    <w:r w:rsidRPr="008669E5">
                      <w:rPr>
                        <w:rFonts w:eastAsia="Times New Roman"/>
                        <w:color w:val="231F20"/>
                        <w:sz w:val="17"/>
                        <w:szCs w:val="17"/>
                      </w:rPr>
                      <w:t xml:space="preserve"> kanceleja@mod.gov.lv</w:t>
                    </w:r>
                    <w:r>
                      <w:rPr>
                        <w:rFonts w:eastAsia="Times New Roman"/>
                        <w:color w:val="231F20"/>
                        <w:sz w:val="17"/>
                        <w:szCs w:val="17"/>
                      </w:rPr>
                      <w:t>;</w:t>
                    </w:r>
                    <w:r w:rsidRPr="008669E5">
                      <w:rPr>
                        <w:rFonts w:eastAsia="Times New Roman"/>
                        <w:color w:val="231F20"/>
                        <w:sz w:val="17"/>
                        <w:szCs w:val="17"/>
                      </w:rPr>
                      <w:t xml:space="preserve"> www.mod.gov.lv</w:t>
                    </w:r>
                  </w:p>
                </w:txbxContent>
              </v:textbox>
            </v:shape>
          </w:pict>
        </mc:Fallback>
      </mc:AlternateContent>
    </w:r>
    <w:r w:rsidRPr="008669E5">
      <w:rPr>
        <w:noProof/>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w="6926" fill="norm"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style="width:346.25pt;height:0.1pt;margin-top:149.85pt;margin-left:145.7pt;mso-position-horizontal-relative:page;mso-position-vertical-relative:page;position:absolute;z-index:-251654144" coordsize="6926,2" coordorigin="2915,2998" o:spid="_x0000_s2050">
              <v:shape id="Freeform 42" style="width:6926;height:2;left:2915;mso-wrap-style:square;position:absolute;top:2998;visibility:visible;v-text-anchor:top" coordsize="6926,2" o:spid="_x0000_s2051" filled="f" strokecolor="#231f20" strokeweight="0.25pt" path="m,l6926,e">
                <v:path arrowok="t" o:connecttype="custom" o:connectlocs="0,0;6926,0" o:connectangles="0,0"/>
              </v:shape>
            </v:group>
          </w:pict>
        </mc:Fallback>
      </mc:AlternateContent>
    </w:r>
    <w:r>
      <w:t xml:space="preserve">Uz </w:t>
    </w:r>
    <w:r>
      <w:rPr>
        <w:noProof/>
      </w:rPr>
      <w:t>15.12.2020</w:t>
    </w:r>
    <w:r>
      <w:t>.</w:t>
    </w:r>
    <w:r>
      <w:tab/>
      <w:t xml:space="preserve">Nr. </w:t>
    </w:r>
    <w:r>
      <w:rPr>
        <w:noProof/>
      </w:rPr>
      <w:t>b/n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1214F6A"/>
    <w:multiLevelType w:val="hybridMultilevel"/>
    <w:tmpl w:val="7CDA290C"/>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2" w15:restartNumberingAfterBreak="1">
    <w:nsid w:val="1A04392B"/>
    <w:multiLevelType w:val="hybridMultilevel"/>
    <w:tmpl w:val="E6C6FBAE"/>
    <w:lvl w:ilvl="0">
      <w:start w:val="1"/>
      <w:numFmt w:val="decimal"/>
      <w:lvlText w:val="%1)"/>
      <w:lvlJc w:val="left"/>
      <w:pPr>
        <w:ind w:left="927"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1">
    <w:nsid w:val="20CA0B9A"/>
    <w:multiLevelType w:val="hybridMultilevel"/>
    <w:tmpl w:val="BFBACA24"/>
    <w:lvl w:ilvl="0">
      <w:start w:val="10"/>
      <w:numFmt w:val="bullet"/>
      <w:lvlText w:val="-"/>
      <w:lvlJc w:val="left"/>
      <w:pPr>
        <w:ind w:left="1778" w:hanging="360"/>
      </w:pPr>
      <w:rPr>
        <w:rFonts w:ascii="Times New Roman" w:eastAsia="Calibri" w:hAnsi="Times New Roman" w:cs="Times New Roman" w:hint="default"/>
      </w:rPr>
    </w:lvl>
    <w:lvl w:ilvl="1" w:tentative="1">
      <w:start w:val="1"/>
      <w:numFmt w:val="bullet"/>
      <w:lvlText w:val="o"/>
      <w:lvlJc w:val="left"/>
      <w:pPr>
        <w:ind w:left="2498" w:hanging="360"/>
      </w:pPr>
      <w:rPr>
        <w:rFonts w:ascii="Courier New" w:hAnsi="Courier New" w:cs="Courier New" w:hint="default"/>
      </w:rPr>
    </w:lvl>
    <w:lvl w:ilvl="2" w:tentative="1">
      <w:start w:val="1"/>
      <w:numFmt w:val="bullet"/>
      <w:lvlText w:val=""/>
      <w:lvlJc w:val="left"/>
      <w:pPr>
        <w:ind w:left="3218" w:hanging="360"/>
      </w:pPr>
      <w:rPr>
        <w:rFonts w:ascii="Wingdings" w:hAnsi="Wingdings" w:hint="default"/>
      </w:rPr>
    </w:lvl>
    <w:lvl w:ilvl="3" w:tentative="1">
      <w:start w:val="1"/>
      <w:numFmt w:val="bullet"/>
      <w:lvlText w:val=""/>
      <w:lvlJc w:val="left"/>
      <w:pPr>
        <w:ind w:left="3938" w:hanging="360"/>
      </w:pPr>
      <w:rPr>
        <w:rFonts w:ascii="Symbol" w:hAnsi="Symbol" w:hint="default"/>
      </w:rPr>
    </w:lvl>
    <w:lvl w:ilvl="4" w:tentative="1">
      <w:start w:val="1"/>
      <w:numFmt w:val="bullet"/>
      <w:lvlText w:val="o"/>
      <w:lvlJc w:val="left"/>
      <w:pPr>
        <w:ind w:left="4658" w:hanging="360"/>
      </w:pPr>
      <w:rPr>
        <w:rFonts w:ascii="Courier New" w:hAnsi="Courier New" w:cs="Courier New" w:hint="default"/>
      </w:rPr>
    </w:lvl>
    <w:lvl w:ilvl="5" w:tentative="1">
      <w:start w:val="1"/>
      <w:numFmt w:val="bullet"/>
      <w:lvlText w:val=""/>
      <w:lvlJc w:val="left"/>
      <w:pPr>
        <w:ind w:left="5378" w:hanging="360"/>
      </w:pPr>
      <w:rPr>
        <w:rFonts w:ascii="Wingdings" w:hAnsi="Wingdings" w:hint="default"/>
      </w:rPr>
    </w:lvl>
    <w:lvl w:ilvl="6" w:tentative="1">
      <w:start w:val="1"/>
      <w:numFmt w:val="bullet"/>
      <w:lvlText w:val=""/>
      <w:lvlJc w:val="left"/>
      <w:pPr>
        <w:ind w:left="6098" w:hanging="360"/>
      </w:pPr>
      <w:rPr>
        <w:rFonts w:ascii="Symbol" w:hAnsi="Symbol" w:hint="default"/>
      </w:rPr>
    </w:lvl>
    <w:lvl w:ilvl="7" w:tentative="1">
      <w:start w:val="1"/>
      <w:numFmt w:val="bullet"/>
      <w:lvlText w:val="o"/>
      <w:lvlJc w:val="left"/>
      <w:pPr>
        <w:ind w:left="6818" w:hanging="360"/>
      </w:pPr>
      <w:rPr>
        <w:rFonts w:ascii="Courier New" w:hAnsi="Courier New" w:cs="Courier New" w:hint="default"/>
      </w:rPr>
    </w:lvl>
    <w:lvl w:ilvl="8" w:tentative="1">
      <w:start w:val="1"/>
      <w:numFmt w:val="bullet"/>
      <w:lvlText w:val=""/>
      <w:lvlJc w:val="left"/>
      <w:pPr>
        <w:ind w:left="7538" w:hanging="360"/>
      </w:pPr>
      <w:rPr>
        <w:rFonts w:ascii="Wingdings" w:hAnsi="Wingdings" w:hint="default"/>
      </w:rPr>
    </w:lvl>
  </w:abstractNum>
  <w:abstractNum w:abstractNumId="14" w15:restartNumberingAfterBreak="1">
    <w:nsid w:val="24CB37E3"/>
    <w:multiLevelType w:val="multilevel"/>
    <w:tmpl w:val="E64EEEB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1">
    <w:nsid w:val="29A5617E"/>
    <w:multiLevelType w:val="hybridMultilevel"/>
    <w:tmpl w:val="FF725CA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1">
    <w:nsid w:val="2AA07A72"/>
    <w:multiLevelType w:val="hybridMultilevel"/>
    <w:tmpl w:val="7DBAA51E"/>
    <w:lvl w:ilvl="0">
      <w:start w:val="1"/>
      <w:numFmt w:val="decimal"/>
      <w:lvlText w:val="%1)"/>
      <w:lvlJc w:val="left"/>
      <w:pPr>
        <w:ind w:left="1920" w:hanging="360"/>
      </w:pPr>
    </w:lvl>
    <w:lvl w:ilvl="1" w:tentative="1">
      <w:start w:val="1"/>
      <w:numFmt w:val="lowerLetter"/>
      <w:lvlText w:val="%2."/>
      <w:lvlJc w:val="left"/>
      <w:pPr>
        <w:ind w:left="2640" w:hanging="360"/>
      </w:pPr>
    </w:lvl>
    <w:lvl w:ilvl="2" w:tentative="1">
      <w:start w:val="1"/>
      <w:numFmt w:val="lowerRoman"/>
      <w:lvlText w:val="%3."/>
      <w:lvlJc w:val="right"/>
      <w:pPr>
        <w:ind w:left="3360" w:hanging="180"/>
      </w:pPr>
    </w:lvl>
    <w:lvl w:ilvl="3" w:tentative="1">
      <w:start w:val="1"/>
      <w:numFmt w:val="decimal"/>
      <w:lvlText w:val="%4."/>
      <w:lvlJc w:val="left"/>
      <w:pPr>
        <w:ind w:left="4080" w:hanging="360"/>
      </w:pPr>
    </w:lvl>
    <w:lvl w:ilvl="4" w:tentative="1">
      <w:start w:val="1"/>
      <w:numFmt w:val="lowerLetter"/>
      <w:lvlText w:val="%5."/>
      <w:lvlJc w:val="left"/>
      <w:pPr>
        <w:ind w:left="4800" w:hanging="360"/>
      </w:pPr>
    </w:lvl>
    <w:lvl w:ilvl="5" w:tentative="1">
      <w:start w:val="1"/>
      <w:numFmt w:val="lowerRoman"/>
      <w:lvlText w:val="%6."/>
      <w:lvlJc w:val="right"/>
      <w:pPr>
        <w:ind w:left="5520" w:hanging="180"/>
      </w:pPr>
    </w:lvl>
    <w:lvl w:ilvl="6" w:tentative="1">
      <w:start w:val="1"/>
      <w:numFmt w:val="decimal"/>
      <w:lvlText w:val="%7."/>
      <w:lvlJc w:val="left"/>
      <w:pPr>
        <w:ind w:left="6240" w:hanging="360"/>
      </w:pPr>
    </w:lvl>
    <w:lvl w:ilvl="7" w:tentative="1">
      <w:start w:val="1"/>
      <w:numFmt w:val="lowerLetter"/>
      <w:lvlText w:val="%8."/>
      <w:lvlJc w:val="left"/>
      <w:pPr>
        <w:ind w:left="6960" w:hanging="360"/>
      </w:pPr>
    </w:lvl>
    <w:lvl w:ilvl="8" w:tentative="1">
      <w:start w:val="1"/>
      <w:numFmt w:val="lowerRoman"/>
      <w:lvlText w:val="%9."/>
      <w:lvlJc w:val="right"/>
      <w:pPr>
        <w:ind w:left="7680" w:hanging="180"/>
      </w:pPr>
    </w:lvl>
  </w:abstractNum>
  <w:abstractNum w:abstractNumId="17" w15:restartNumberingAfterBreak="1">
    <w:nsid w:val="43DA3E49"/>
    <w:multiLevelType w:val="hybridMultilevel"/>
    <w:tmpl w:val="7A0A4710"/>
    <w:lvl w:ilvl="0">
      <w:start w:val="1"/>
      <w:numFmt w:val="bullet"/>
      <w:lvlText w:val="-"/>
      <w:lvlJc w:val="left"/>
      <w:pPr>
        <w:ind w:left="1647" w:hanging="360"/>
      </w:pPr>
      <w:rPr>
        <w:rFonts w:ascii="Times New Roman" w:eastAsia="Calibri" w:hAnsi="Times New Roman" w:cs="Times New Roman" w:hint="default"/>
      </w:rPr>
    </w:lvl>
    <w:lvl w:ilvl="1" w:tentative="1">
      <w:start w:val="1"/>
      <w:numFmt w:val="bullet"/>
      <w:lvlText w:val="o"/>
      <w:lvlJc w:val="left"/>
      <w:pPr>
        <w:ind w:left="2367" w:hanging="360"/>
      </w:pPr>
      <w:rPr>
        <w:rFonts w:ascii="Courier New" w:hAnsi="Courier New" w:cs="Courier New" w:hint="default"/>
      </w:rPr>
    </w:lvl>
    <w:lvl w:ilvl="2" w:tentative="1">
      <w:start w:val="1"/>
      <w:numFmt w:val="bullet"/>
      <w:lvlText w:val=""/>
      <w:lvlJc w:val="left"/>
      <w:pPr>
        <w:ind w:left="3087" w:hanging="360"/>
      </w:pPr>
      <w:rPr>
        <w:rFonts w:ascii="Wingdings" w:hAnsi="Wingdings" w:hint="default"/>
      </w:rPr>
    </w:lvl>
    <w:lvl w:ilvl="3" w:tentative="1">
      <w:start w:val="1"/>
      <w:numFmt w:val="bullet"/>
      <w:lvlText w:val=""/>
      <w:lvlJc w:val="left"/>
      <w:pPr>
        <w:ind w:left="3807" w:hanging="360"/>
      </w:pPr>
      <w:rPr>
        <w:rFonts w:ascii="Symbol" w:hAnsi="Symbol" w:hint="default"/>
      </w:rPr>
    </w:lvl>
    <w:lvl w:ilvl="4" w:tentative="1">
      <w:start w:val="1"/>
      <w:numFmt w:val="bullet"/>
      <w:lvlText w:val="o"/>
      <w:lvlJc w:val="left"/>
      <w:pPr>
        <w:ind w:left="4527" w:hanging="360"/>
      </w:pPr>
      <w:rPr>
        <w:rFonts w:ascii="Courier New" w:hAnsi="Courier New" w:cs="Courier New" w:hint="default"/>
      </w:rPr>
    </w:lvl>
    <w:lvl w:ilvl="5" w:tentative="1">
      <w:start w:val="1"/>
      <w:numFmt w:val="bullet"/>
      <w:lvlText w:val=""/>
      <w:lvlJc w:val="left"/>
      <w:pPr>
        <w:ind w:left="5247" w:hanging="360"/>
      </w:pPr>
      <w:rPr>
        <w:rFonts w:ascii="Wingdings" w:hAnsi="Wingdings" w:hint="default"/>
      </w:rPr>
    </w:lvl>
    <w:lvl w:ilvl="6" w:tentative="1">
      <w:start w:val="1"/>
      <w:numFmt w:val="bullet"/>
      <w:lvlText w:val=""/>
      <w:lvlJc w:val="left"/>
      <w:pPr>
        <w:ind w:left="5967" w:hanging="360"/>
      </w:pPr>
      <w:rPr>
        <w:rFonts w:ascii="Symbol" w:hAnsi="Symbol" w:hint="default"/>
      </w:rPr>
    </w:lvl>
    <w:lvl w:ilvl="7" w:tentative="1">
      <w:start w:val="1"/>
      <w:numFmt w:val="bullet"/>
      <w:lvlText w:val="o"/>
      <w:lvlJc w:val="left"/>
      <w:pPr>
        <w:ind w:left="6687" w:hanging="360"/>
      </w:pPr>
      <w:rPr>
        <w:rFonts w:ascii="Courier New" w:hAnsi="Courier New" w:cs="Courier New" w:hint="default"/>
      </w:rPr>
    </w:lvl>
    <w:lvl w:ilvl="8" w:tentative="1">
      <w:start w:val="1"/>
      <w:numFmt w:val="bullet"/>
      <w:lvlText w:val=""/>
      <w:lvlJc w:val="left"/>
      <w:pPr>
        <w:ind w:left="7407" w:hanging="360"/>
      </w:pPr>
      <w:rPr>
        <w:rFonts w:ascii="Wingdings" w:hAnsi="Wingdings" w:hint="default"/>
      </w:rPr>
    </w:lvl>
  </w:abstractNum>
  <w:abstractNum w:abstractNumId="18" w15:restartNumberingAfterBreak="1">
    <w:nsid w:val="5F5F0BD8"/>
    <w:multiLevelType w:val="hybridMultilevel"/>
    <w:tmpl w:val="D0363F32"/>
    <w:lvl w:ilvl="0">
      <w:start w:val="1"/>
      <w:numFmt w:val="decimal"/>
      <w:lvlText w:val="%1)"/>
      <w:lvlJc w:val="left"/>
      <w:pPr>
        <w:ind w:left="720" w:hanging="360"/>
      </w:pPr>
      <w:rPr>
        <w:rFonts w:hint="default"/>
        <w:color w:val="2121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1">
    <w:nsid w:val="690234B7"/>
    <w:multiLevelType w:val="hybridMultilevel"/>
    <w:tmpl w:val="05BE9246"/>
    <w:lvl w:ilvl="0">
      <w:start w:val="0"/>
      <w:numFmt w:val="bullet"/>
      <w:lvlText w:val="-"/>
      <w:lvlJc w:val="left"/>
      <w:pPr>
        <w:ind w:left="1647" w:hanging="360"/>
      </w:pPr>
      <w:rPr>
        <w:rFonts w:ascii="Calibri" w:hAnsi="Calibri" w:eastAsiaTheme="minorHAnsi" w:cs="Times New Roman" w:hint="default"/>
      </w:rPr>
    </w:lvl>
    <w:lvl w:ilvl="1" w:tentative="1">
      <w:start w:val="1"/>
      <w:numFmt w:val="bullet"/>
      <w:lvlText w:val="o"/>
      <w:lvlJc w:val="left"/>
      <w:pPr>
        <w:ind w:left="2367" w:hanging="360"/>
      </w:pPr>
      <w:rPr>
        <w:rFonts w:ascii="Courier New" w:hAnsi="Courier New" w:cs="Courier New" w:hint="default"/>
      </w:rPr>
    </w:lvl>
    <w:lvl w:ilvl="2" w:tentative="1">
      <w:start w:val="1"/>
      <w:numFmt w:val="bullet"/>
      <w:lvlText w:val=""/>
      <w:lvlJc w:val="left"/>
      <w:pPr>
        <w:ind w:left="3087" w:hanging="360"/>
      </w:pPr>
      <w:rPr>
        <w:rFonts w:ascii="Wingdings" w:hAnsi="Wingdings" w:hint="default"/>
      </w:rPr>
    </w:lvl>
    <w:lvl w:ilvl="3" w:tentative="1">
      <w:start w:val="1"/>
      <w:numFmt w:val="bullet"/>
      <w:lvlText w:val=""/>
      <w:lvlJc w:val="left"/>
      <w:pPr>
        <w:ind w:left="3807" w:hanging="360"/>
      </w:pPr>
      <w:rPr>
        <w:rFonts w:ascii="Symbol" w:hAnsi="Symbol" w:hint="default"/>
      </w:rPr>
    </w:lvl>
    <w:lvl w:ilvl="4" w:tentative="1">
      <w:start w:val="1"/>
      <w:numFmt w:val="bullet"/>
      <w:lvlText w:val="o"/>
      <w:lvlJc w:val="left"/>
      <w:pPr>
        <w:ind w:left="4527" w:hanging="360"/>
      </w:pPr>
      <w:rPr>
        <w:rFonts w:ascii="Courier New" w:hAnsi="Courier New" w:cs="Courier New" w:hint="default"/>
      </w:rPr>
    </w:lvl>
    <w:lvl w:ilvl="5" w:tentative="1">
      <w:start w:val="1"/>
      <w:numFmt w:val="bullet"/>
      <w:lvlText w:val=""/>
      <w:lvlJc w:val="left"/>
      <w:pPr>
        <w:ind w:left="5247" w:hanging="360"/>
      </w:pPr>
      <w:rPr>
        <w:rFonts w:ascii="Wingdings" w:hAnsi="Wingdings" w:hint="default"/>
      </w:rPr>
    </w:lvl>
    <w:lvl w:ilvl="6" w:tentative="1">
      <w:start w:val="1"/>
      <w:numFmt w:val="bullet"/>
      <w:lvlText w:val=""/>
      <w:lvlJc w:val="left"/>
      <w:pPr>
        <w:ind w:left="5967" w:hanging="360"/>
      </w:pPr>
      <w:rPr>
        <w:rFonts w:ascii="Symbol" w:hAnsi="Symbol" w:hint="default"/>
      </w:rPr>
    </w:lvl>
    <w:lvl w:ilvl="7" w:tentative="1">
      <w:start w:val="1"/>
      <w:numFmt w:val="bullet"/>
      <w:lvlText w:val="o"/>
      <w:lvlJc w:val="left"/>
      <w:pPr>
        <w:ind w:left="6687" w:hanging="360"/>
      </w:pPr>
      <w:rPr>
        <w:rFonts w:ascii="Courier New" w:hAnsi="Courier New" w:cs="Courier New" w:hint="default"/>
      </w:rPr>
    </w:lvl>
    <w:lvl w:ilvl="8" w:tentative="1">
      <w:start w:val="1"/>
      <w:numFmt w:val="bullet"/>
      <w:lvlText w:val=""/>
      <w:lvlJc w:val="left"/>
      <w:pPr>
        <w:ind w:left="7407" w:hanging="360"/>
      </w:pPr>
      <w:rPr>
        <w:rFonts w:ascii="Wingdings" w:hAnsi="Wingdings" w:hint="default"/>
      </w:rPr>
    </w:lvl>
  </w:abstractNum>
  <w:abstractNum w:abstractNumId="20" w15:restartNumberingAfterBreak="1">
    <w:nsid w:val="7FEB2E33"/>
    <w:multiLevelType w:val="hybridMultilevel"/>
    <w:tmpl w:val="F91A232E"/>
    <w:lvl w:ilvl="0">
      <w:start w:val="1"/>
      <w:numFmt w:val="decimal"/>
      <w:lvlText w:val="%1)"/>
      <w:lvlJc w:val="left"/>
      <w:pPr>
        <w:ind w:left="927" w:hanging="360"/>
      </w:pPr>
      <w:rPr>
        <w:rFonts w:hint="default"/>
        <w:color w:val="auto"/>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num>
  <w:num w:numId="13">
    <w:abstractNumId w:val="20"/>
  </w:num>
  <w:num w:numId="14">
    <w:abstractNumId w:val="1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5"/>
  </w:num>
  <w:num w:numId="18">
    <w:abstractNumId w:val="17"/>
  </w:num>
  <w:num w:numId="19">
    <w:abstractNumId w:val="16"/>
  </w:num>
  <w:num w:numId="20">
    <w:abstractNumId w:val="14"/>
  </w:num>
  <w:num w:numId="21">
    <w:abstractNumId w:val="1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264"/>
    <w:rsid w:val="00006384"/>
    <w:rsid w:val="00011612"/>
    <w:rsid w:val="00014961"/>
    <w:rsid w:val="000155D1"/>
    <w:rsid w:val="00030349"/>
    <w:rsid w:val="00032C99"/>
    <w:rsid w:val="0004700F"/>
    <w:rsid w:val="00052004"/>
    <w:rsid w:val="0005708E"/>
    <w:rsid w:val="000903C4"/>
    <w:rsid w:val="000A0B61"/>
    <w:rsid w:val="000C7682"/>
    <w:rsid w:val="000F2819"/>
    <w:rsid w:val="000F716B"/>
    <w:rsid w:val="00101D90"/>
    <w:rsid w:val="00104688"/>
    <w:rsid w:val="00124173"/>
    <w:rsid w:val="00141E76"/>
    <w:rsid w:val="00151897"/>
    <w:rsid w:val="001918C7"/>
    <w:rsid w:val="00195B52"/>
    <w:rsid w:val="001B4444"/>
    <w:rsid w:val="001C3CA0"/>
    <w:rsid w:val="001D79E4"/>
    <w:rsid w:val="001F0937"/>
    <w:rsid w:val="00202858"/>
    <w:rsid w:val="00236585"/>
    <w:rsid w:val="00242216"/>
    <w:rsid w:val="00265D4A"/>
    <w:rsid w:val="00275B9E"/>
    <w:rsid w:val="00275C13"/>
    <w:rsid w:val="00290B9D"/>
    <w:rsid w:val="002B3077"/>
    <w:rsid w:val="002D7FAB"/>
    <w:rsid w:val="002E1474"/>
    <w:rsid w:val="002E75AE"/>
    <w:rsid w:val="00300795"/>
    <w:rsid w:val="003055D8"/>
    <w:rsid w:val="00320D45"/>
    <w:rsid w:val="0032508F"/>
    <w:rsid w:val="00330D43"/>
    <w:rsid w:val="00341465"/>
    <w:rsid w:val="003949CB"/>
    <w:rsid w:val="00394AF3"/>
    <w:rsid w:val="003B48FB"/>
    <w:rsid w:val="003E6860"/>
    <w:rsid w:val="0042204C"/>
    <w:rsid w:val="00430B72"/>
    <w:rsid w:val="00477B65"/>
    <w:rsid w:val="004B29B1"/>
    <w:rsid w:val="004D5726"/>
    <w:rsid w:val="004F08C0"/>
    <w:rsid w:val="004F45DE"/>
    <w:rsid w:val="005171A7"/>
    <w:rsid w:val="005336D6"/>
    <w:rsid w:val="00535564"/>
    <w:rsid w:val="0054514B"/>
    <w:rsid w:val="00567483"/>
    <w:rsid w:val="005849AF"/>
    <w:rsid w:val="005A239B"/>
    <w:rsid w:val="005B37B6"/>
    <w:rsid w:val="005B7C76"/>
    <w:rsid w:val="005D2424"/>
    <w:rsid w:val="00625B5E"/>
    <w:rsid w:val="00661C8F"/>
    <w:rsid w:val="00663C3A"/>
    <w:rsid w:val="00693999"/>
    <w:rsid w:val="006C1639"/>
    <w:rsid w:val="006C25E2"/>
    <w:rsid w:val="006C416D"/>
    <w:rsid w:val="00727560"/>
    <w:rsid w:val="0073633D"/>
    <w:rsid w:val="00742256"/>
    <w:rsid w:val="007652D2"/>
    <w:rsid w:val="00767FE6"/>
    <w:rsid w:val="007819B2"/>
    <w:rsid w:val="00781EA1"/>
    <w:rsid w:val="007A2264"/>
    <w:rsid w:val="007A521E"/>
    <w:rsid w:val="007B3BA5"/>
    <w:rsid w:val="007B48EC"/>
    <w:rsid w:val="007C0E80"/>
    <w:rsid w:val="007C5053"/>
    <w:rsid w:val="007E4D1F"/>
    <w:rsid w:val="00815277"/>
    <w:rsid w:val="00857297"/>
    <w:rsid w:val="008669E5"/>
    <w:rsid w:val="00876C21"/>
    <w:rsid w:val="0088511B"/>
    <w:rsid w:val="00897A1C"/>
    <w:rsid w:val="008B025D"/>
    <w:rsid w:val="008C195B"/>
    <w:rsid w:val="008D0A8F"/>
    <w:rsid w:val="008D4AF3"/>
    <w:rsid w:val="00935EF6"/>
    <w:rsid w:val="00954D5A"/>
    <w:rsid w:val="00974008"/>
    <w:rsid w:val="009775EE"/>
    <w:rsid w:val="0099125D"/>
    <w:rsid w:val="009A40B4"/>
    <w:rsid w:val="009B5631"/>
    <w:rsid w:val="009C426E"/>
    <w:rsid w:val="009D0F72"/>
    <w:rsid w:val="009E00B1"/>
    <w:rsid w:val="009F0648"/>
    <w:rsid w:val="009F30F5"/>
    <w:rsid w:val="009F4FBB"/>
    <w:rsid w:val="00A03A13"/>
    <w:rsid w:val="00A30D47"/>
    <w:rsid w:val="00AA44FD"/>
    <w:rsid w:val="00AA712C"/>
    <w:rsid w:val="00AC3B5D"/>
    <w:rsid w:val="00AE1FFA"/>
    <w:rsid w:val="00AF0E90"/>
    <w:rsid w:val="00B47AFA"/>
    <w:rsid w:val="00B57E58"/>
    <w:rsid w:val="00BB5677"/>
    <w:rsid w:val="00BB6AB6"/>
    <w:rsid w:val="00BD34ED"/>
    <w:rsid w:val="00BE56C2"/>
    <w:rsid w:val="00C2056F"/>
    <w:rsid w:val="00C36A49"/>
    <w:rsid w:val="00C47F57"/>
    <w:rsid w:val="00C56EDF"/>
    <w:rsid w:val="00C74261"/>
    <w:rsid w:val="00CA407F"/>
    <w:rsid w:val="00CA7D43"/>
    <w:rsid w:val="00CF6B30"/>
    <w:rsid w:val="00D0743C"/>
    <w:rsid w:val="00D21FA6"/>
    <w:rsid w:val="00D55B4B"/>
    <w:rsid w:val="00D75996"/>
    <w:rsid w:val="00D96168"/>
    <w:rsid w:val="00DB31BD"/>
    <w:rsid w:val="00DD3458"/>
    <w:rsid w:val="00E330D3"/>
    <w:rsid w:val="00E365CE"/>
    <w:rsid w:val="00E7066D"/>
    <w:rsid w:val="00E85884"/>
    <w:rsid w:val="00E8725D"/>
    <w:rsid w:val="00EA5DAF"/>
    <w:rsid w:val="00EC142A"/>
    <w:rsid w:val="00EC3CA5"/>
    <w:rsid w:val="00EF676E"/>
    <w:rsid w:val="00F115F7"/>
    <w:rsid w:val="00F25DA3"/>
    <w:rsid w:val="00F52771"/>
    <w:rsid w:val="00F60586"/>
    <w:rsid w:val="00F741C3"/>
    <w:rsid w:val="00F82D6A"/>
    <w:rsid w:val="00F82FDF"/>
    <w:rsid w:val="00FA0713"/>
    <w:rsid w:val="00FB2E50"/>
    <w:rsid w:val="00FF0EE8"/>
    <w:rsid w:val="00FF6C04"/>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5:docId w15:val="{7798B06E-E6E6-4E18-92F7-84F9DC20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264"/>
    <w:pPr>
      <w:widowControl w:val="0"/>
      <w:spacing w:after="200" w:line="276" w:lineRule="auto"/>
    </w:pPr>
  </w:style>
  <w:style w:type="paragraph" w:styleId="Heading1">
    <w:name w:val="heading 1"/>
    <w:basedOn w:val="Normal"/>
    <w:next w:val="Normal"/>
    <w:link w:val="Heading1Char"/>
    <w:uiPriority w:val="9"/>
    <w:qFormat/>
    <w:rsid w:val="003007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1"/>
    <w:next w:val="Normal"/>
    <w:link w:val="Heading2Char"/>
    <w:qFormat/>
    <w:rsid w:val="00300795"/>
    <w:pPr>
      <w:spacing w:before="40" w:line="360" w:lineRule="auto"/>
      <w:outlineLvl w:val="1"/>
    </w:pPr>
    <w:rPr>
      <w:rFonts w:ascii="Times New Roman" w:hAnsi="Times New Roman"/>
      <w:b/>
      <w:color w:val="auto"/>
      <w:sz w:val="24"/>
      <w:szCs w:val="26"/>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FA0713"/>
    <w:pPr>
      <w:ind w:left="720"/>
      <w:contextualSpacing/>
    </w:pPr>
  </w:style>
  <w:style w:type="character" w:customStyle="1" w:styleId="Heading2Char">
    <w:name w:val="Heading 2 Char"/>
    <w:basedOn w:val="DefaultParagraphFont"/>
    <w:link w:val="Heading2"/>
    <w:rsid w:val="00300795"/>
    <w:rPr>
      <w:rFonts w:eastAsiaTheme="majorEastAsia" w:cstheme="majorBidi"/>
      <w:b/>
      <w:szCs w:val="26"/>
    </w:rPr>
  </w:style>
  <w:style w:type="character" w:customStyle="1" w:styleId="eop">
    <w:name w:val="eop"/>
    <w:basedOn w:val="DefaultParagraphFont"/>
    <w:qFormat/>
    <w:rsid w:val="00300795"/>
  </w:style>
  <w:style w:type="paragraph" w:styleId="BodyText">
    <w:name w:val="Body Text"/>
    <w:basedOn w:val="Normal"/>
    <w:link w:val="BodyTextChar"/>
    <w:rsid w:val="00300795"/>
    <w:pPr>
      <w:spacing w:after="140"/>
    </w:pPr>
  </w:style>
  <w:style w:type="character" w:customStyle="1" w:styleId="BodyTextChar">
    <w:name w:val="Body Text Char"/>
    <w:basedOn w:val="DefaultParagraphFont"/>
    <w:link w:val="BodyText"/>
    <w:rsid w:val="00300795"/>
  </w:style>
  <w:style w:type="character" w:customStyle="1" w:styleId="Heading1Char">
    <w:name w:val="Heading 1 Char"/>
    <w:basedOn w:val="DefaultParagraphFont"/>
    <w:link w:val="Heading1"/>
    <w:uiPriority w:val="9"/>
    <w:rsid w:val="0030079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8172</Words>
  <Characters>4659</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Ingūna Ernštreite</cp:lastModifiedBy>
  <cp:revision>3</cp:revision>
  <cp:lastPrinted>2020-12-21T11:10:00Z</cp:lastPrinted>
  <dcterms:created xsi:type="dcterms:W3CDTF">2020-12-28T08:32:00Z</dcterms:created>
  <dcterms:modified xsi:type="dcterms:W3CDTF">2020-12-28T08:32:00Z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